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DC37" w14:textId="135AF122" w:rsidR="001A5F7E" w:rsidRPr="00E15795" w:rsidRDefault="001A5F7E" w:rsidP="001D36C2">
      <w:pPr>
        <w:autoSpaceDE w:val="0"/>
        <w:autoSpaceDN w:val="0"/>
        <w:adjustRightInd w:val="0"/>
        <w:jc w:val="center"/>
        <w:rPr>
          <w:rFonts w:ascii="CIDFont+F1" w:hAnsi="CIDFont+F1" w:cs="CIDFont+F1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EE5F88" wp14:editId="2610B70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76655" cy="1574165"/>
            <wp:effectExtent l="0" t="0" r="4445" b="6985"/>
            <wp:wrapSquare wrapText="bothSides"/>
            <wp:docPr id="5140379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795">
        <w:rPr>
          <w:rFonts w:ascii="CIDFont+F1" w:hAnsi="CIDFont+F1" w:cs="CIDFont+F1"/>
          <w:b/>
          <w:bCs/>
          <w:sz w:val="40"/>
          <w:szCs w:val="40"/>
        </w:rPr>
        <w:t>COMUNE DI SANTA TERESA GALLURA</w:t>
      </w:r>
    </w:p>
    <w:p w14:paraId="39B414E7" w14:textId="24B54494" w:rsidR="001A5F7E" w:rsidRPr="00E15795" w:rsidRDefault="00A07AC0" w:rsidP="00A07AC0">
      <w:pPr>
        <w:autoSpaceDE w:val="0"/>
        <w:autoSpaceDN w:val="0"/>
        <w:adjustRightInd w:val="0"/>
        <w:ind w:left="1416" w:firstLine="708"/>
        <w:rPr>
          <w:rFonts w:ascii="CIDFont+F1" w:hAnsi="CIDFont+F1" w:cs="CIDFont+F1"/>
          <w:b/>
          <w:bCs/>
          <w:sz w:val="24"/>
          <w:szCs w:val="24"/>
        </w:rPr>
      </w:pPr>
      <w:r>
        <w:rPr>
          <w:rFonts w:ascii="CIDFont+F1" w:hAnsi="CIDFont+F1" w:cs="CIDFont+F1"/>
          <w:b/>
          <w:bCs/>
          <w:sz w:val="24"/>
          <w:szCs w:val="24"/>
        </w:rPr>
        <w:t xml:space="preserve">          </w:t>
      </w:r>
      <w:r w:rsidR="001A5F7E" w:rsidRPr="00E15795">
        <w:rPr>
          <w:rFonts w:ascii="CIDFont+F1" w:hAnsi="CIDFont+F1" w:cs="CIDFont+F1"/>
          <w:b/>
          <w:bCs/>
          <w:sz w:val="24"/>
          <w:szCs w:val="24"/>
        </w:rPr>
        <w:t xml:space="preserve">PROVINCIA </w:t>
      </w:r>
      <w:r w:rsidR="00D1107B">
        <w:rPr>
          <w:rFonts w:ascii="CIDFont+F1" w:hAnsi="CIDFont+F1" w:cs="CIDFont+F1"/>
          <w:b/>
          <w:bCs/>
          <w:sz w:val="24"/>
          <w:szCs w:val="24"/>
        </w:rPr>
        <w:t>GALLURA NORD EST SARDEGNA</w:t>
      </w:r>
    </w:p>
    <w:p w14:paraId="3564C5B3" w14:textId="46C82D42" w:rsidR="001A5F7E" w:rsidRDefault="001A5F7E" w:rsidP="00A07AC0">
      <w:pPr>
        <w:tabs>
          <w:tab w:val="left" w:pos="801"/>
        </w:tabs>
        <w:rPr>
          <w:rFonts w:ascii="CIDFont+F1" w:hAnsi="CIDFont+F1" w:cs="CIDFont+F1"/>
          <w:sz w:val="20"/>
        </w:rPr>
      </w:pPr>
    </w:p>
    <w:p w14:paraId="37A84FB4" w14:textId="73287075" w:rsidR="001E09CD" w:rsidRPr="00D1107B" w:rsidRDefault="00A07AC0" w:rsidP="00A07A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D1107B" w:rsidRPr="00D1107B">
        <w:rPr>
          <w:b/>
          <w:bCs/>
          <w:sz w:val="28"/>
          <w:szCs w:val="28"/>
        </w:rPr>
        <w:t>Settore Affari Generali e Demografici</w:t>
      </w:r>
    </w:p>
    <w:p w14:paraId="49D985C7" w14:textId="77777777" w:rsidR="001E09CD" w:rsidRDefault="001E09CD" w:rsidP="001E09CD">
      <w:pPr>
        <w:jc w:val="center"/>
        <w:rPr>
          <w:b/>
          <w:bCs/>
          <w:szCs w:val="22"/>
        </w:rPr>
      </w:pPr>
    </w:p>
    <w:p w14:paraId="702867E1" w14:textId="77777777" w:rsidR="00A07AC0" w:rsidRDefault="00A07AC0" w:rsidP="001E09CD">
      <w:pPr>
        <w:jc w:val="center"/>
        <w:rPr>
          <w:b/>
          <w:bCs/>
          <w:szCs w:val="22"/>
        </w:rPr>
      </w:pPr>
    </w:p>
    <w:p w14:paraId="4A28EA43" w14:textId="77777777" w:rsidR="00A07AC0" w:rsidRDefault="00A07AC0" w:rsidP="001E09CD">
      <w:pPr>
        <w:jc w:val="center"/>
        <w:rPr>
          <w:b/>
          <w:bCs/>
          <w:szCs w:val="22"/>
        </w:rPr>
      </w:pPr>
    </w:p>
    <w:p w14:paraId="26793056" w14:textId="77777777" w:rsidR="00A07AC0" w:rsidRDefault="00A07AC0" w:rsidP="001E09CD">
      <w:pPr>
        <w:jc w:val="center"/>
        <w:rPr>
          <w:b/>
          <w:bCs/>
          <w:szCs w:val="22"/>
        </w:rPr>
      </w:pPr>
    </w:p>
    <w:p w14:paraId="3399E904" w14:textId="77777777" w:rsidR="001E09CD" w:rsidRDefault="001E09CD" w:rsidP="00A07AC0">
      <w:pPr>
        <w:rPr>
          <w:b/>
          <w:bCs/>
          <w:szCs w:val="22"/>
        </w:rPr>
      </w:pPr>
    </w:p>
    <w:p w14:paraId="4B743C20" w14:textId="24310E7D" w:rsidR="001E09CD" w:rsidRDefault="001E09CD" w:rsidP="001E09CD">
      <w:pPr>
        <w:jc w:val="right"/>
      </w:pPr>
    </w:p>
    <w:p w14:paraId="6F6B8037" w14:textId="77777777" w:rsidR="00D1107B" w:rsidRDefault="00D1107B" w:rsidP="001E09CD">
      <w:pPr>
        <w:jc w:val="right"/>
      </w:pPr>
    </w:p>
    <w:p w14:paraId="32E3CE85" w14:textId="77777777" w:rsidR="00A07AC0" w:rsidRDefault="00A07AC0" w:rsidP="001E09CD">
      <w:pPr>
        <w:jc w:val="right"/>
      </w:pPr>
    </w:p>
    <w:p w14:paraId="2A842BDC" w14:textId="77777777" w:rsidR="00A07AC0" w:rsidRDefault="00A07AC0" w:rsidP="001E09CD">
      <w:pPr>
        <w:jc w:val="right"/>
      </w:pPr>
    </w:p>
    <w:p w14:paraId="129F9E22" w14:textId="77777777" w:rsidR="00A07AC0" w:rsidRDefault="00A07AC0" w:rsidP="001E09CD">
      <w:pPr>
        <w:jc w:val="right"/>
      </w:pPr>
    </w:p>
    <w:p w14:paraId="6E044F91" w14:textId="77777777" w:rsidR="00D1107B" w:rsidRDefault="00D1107B" w:rsidP="001E09CD">
      <w:pPr>
        <w:jc w:val="right"/>
      </w:pPr>
    </w:p>
    <w:p w14:paraId="2DCDE762" w14:textId="6134FAE9" w:rsidR="00A07AC0" w:rsidRPr="00A07AC0" w:rsidRDefault="00A07AC0" w:rsidP="00A07AC0">
      <w:pPr>
        <w:jc w:val="both"/>
        <w:rPr>
          <w:rFonts w:ascii="Arial" w:hAnsi="Arial" w:cs="Arial"/>
          <w:b/>
        </w:rPr>
      </w:pPr>
      <w:r w:rsidRPr="00A07AC0">
        <w:rPr>
          <w:rFonts w:ascii="Arial" w:hAnsi="Arial" w:cs="Arial"/>
          <w:b/>
        </w:rPr>
        <w:t xml:space="preserve">Oggetto: Chiarimenti manifestazione di interesse per l'affidamento del servizio legale di rappresentanza e difesa in giudizio e assistenza giuridica stragiudiziale in materia civile e amministrativa — Riscontro </w:t>
      </w:r>
      <w:r>
        <w:rPr>
          <w:rFonts w:ascii="Arial" w:hAnsi="Arial" w:cs="Arial"/>
          <w:b/>
        </w:rPr>
        <w:t>vs nota prot. 16159 del 31.08.2026</w:t>
      </w:r>
    </w:p>
    <w:p w14:paraId="5C343589" w14:textId="77777777" w:rsidR="00A07AC0" w:rsidRPr="00A07AC0" w:rsidRDefault="00A07AC0" w:rsidP="00A07AC0">
      <w:pPr>
        <w:jc w:val="both"/>
        <w:rPr>
          <w:rFonts w:ascii="Arial" w:hAnsi="Arial" w:cs="Arial"/>
        </w:rPr>
      </w:pPr>
      <w:r w:rsidRPr="00A07AC0">
        <w:rPr>
          <w:rFonts w:ascii="Arial" w:hAnsi="Arial" w:cs="Arial"/>
        </w:rPr>
        <w:t xml:space="preserve">Con riferimento ai requisiti di idoneità professionale, che devono essere posseduti individualmente da ciascun professionista per il quale siano richiesti dalla legge o dalla </w:t>
      </w:r>
      <w:proofErr w:type="spellStart"/>
      <w:r w:rsidRPr="00A07AC0">
        <w:rPr>
          <w:rFonts w:ascii="Arial" w:hAnsi="Arial" w:cs="Arial"/>
          <w:i/>
        </w:rPr>
        <w:t>lex</w:t>
      </w:r>
      <w:proofErr w:type="spellEnd"/>
      <w:r w:rsidRPr="00A07AC0">
        <w:rPr>
          <w:rFonts w:ascii="Arial" w:hAnsi="Arial" w:cs="Arial"/>
          <w:i/>
        </w:rPr>
        <w:t xml:space="preserve"> </w:t>
      </w:r>
      <w:proofErr w:type="spellStart"/>
      <w:r w:rsidRPr="00A07AC0">
        <w:rPr>
          <w:rFonts w:ascii="Arial" w:hAnsi="Arial" w:cs="Arial"/>
          <w:i/>
        </w:rPr>
        <w:t>specialis</w:t>
      </w:r>
      <w:proofErr w:type="spellEnd"/>
      <w:r w:rsidRPr="00A07AC0">
        <w:rPr>
          <w:rFonts w:ascii="Arial" w:hAnsi="Arial" w:cs="Arial"/>
        </w:rPr>
        <w:t xml:space="preserve">, essi devono essere distinti dai requisiti e dagli elementi di capacità tecnico-professionale rilevanti ai fini della valutazione dell’offerta tecnica. </w:t>
      </w:r>
    </w:p>
    <w:p w14:paraId="59F6A0CF" w14:textId="77777777" w:rsidR="00A07AC0" w:rsidRPr="00A07AC0" w:rsidRDefault="00A07AC0" w:rsidP="00A07AC0">
      <w:pPr>
        <w:jc w:val="both"/>
        <w:rPr>
          <w:rFonts w:ascii="Arial" w:hAnsi="Arial" w:cs="Arial"/>
        </w:rPr>
      </w:pPr>
      <w:r w:rsidRPr="00A07AC0">
        <w:rPr>
          <w:rFonts w:ascii="Arial" w:hAnsi="Arial" w:cs="Arial"/>
        </w:rPr>
        <w:t xml:space="preserve">Nello specifico, i requisiti indicati nell’avviso come essenziali e riferiti a ciascun professionista, anche in caso di raggruppamento temporaneo, dovranno essere posseduti individualmente dai componenti del raggruppamento secondo quanto previsto dalla documentazione di gara. </w:t>
      </w:r>
    </w:p>
    <w:p w14:paraId="65840F72" w14:textId="77777777" w:rsidR="00A07AC0" w:rsidRPr="00A07AC0" w:rsidRDefault="00A07AC0" w:rsidP="00A07AC0">
      <w:pPr>
        <w:jc w:val="both"/>
        <w:rPr>
          <w:rFonts w:ascii="Arial" w:hAnsi="Arial" w:cs="Arial"/>
        </w:rPr>
      </w:pPr>
      <w:r w:rsidRPr="00A07AC0">
        <w:rPr>
          <w:rFonts w:ascii="Arial" w:hAnsi="Arial" w:cs="Arial"/>
        </w:rPr>
        <w:t xml:space="preserve">Relativamente alla </w:t>
      </w:r>
      <w:r w:rsidRPr="00A07AC0">
        <w:rPr>
          <w:rFonts w:ascii="Arial" w:hAnsi="Arial" w:cs="Arial"/>
          <w:b/>
        </w:rPr>
        <w:t>valutazione dell’offerta tecnica</w:t>
      </w:r>
      <w:r w:rsidRPr="00A07AC0">
        <w:rPr>
          <w:rFonts w:ascii="Arial" w:hAnsi="Arial" w:cs="Arial"/>
        </w:rPr>
        <w:t>, la Commissione esaminerà il curriculum professionale complessivo del concorrente, considerando le esperienze, i titoli e le competenze dei professionisti componenti il raggruppamento, purché nominativamente indicati e coerenti con le prestazioni oggetto dell’affidamento. La valutazione sarà effettuata in modo unitario e comparativo, avuto riguardo all’effettiva capacità del raggruppamento di assicurare il servizio richiesto, senza automatismi e senza che il cumulo dei curricula determini il superamento dei punteggi massimi previsti per ciascun criterio.</w:t>
      </w:r>
    </w:p>
    <w:p w14:paraId="165177FC" w14:textId="77777777" w:rsidR="00A07AC0" w:rsidRPr="00A07AC0" w:rsidRDefault="00A07AC0" w:rsidP="00A07AC0">
      <w:pPr>
        <w:jc w:val="both"/>
        <w:rPr>
          <w:rFonts w:ascii="Arial" w:hAnsi="Arial" w:cs="Arial"/>
        </w:rPr>
      </w:pPr>
      <w:r w:rsidRPr="00A07AC0">
        <w:rPr>
          <w:rFonts w:ascii="Arial" w:hAnsi="Arial" w:cs="Arial"/>
        </w:rPr>
        <w:t xml:space="preserve">I </w:t>
      </w:r>
      <w:r w:rsidRPr="00A07AC0">
        <w:rPr>
          <w:rFonts w:ascii="Arial" w:hAnsi="Arial" w:cs="Arial"/>
          <w:b/>
        </w:rPr>
        <w:t>punteggi compresi tra un valore minimo e un valore massimo</w:t>
      </w:r>
      <w:r w:rsidRPr="00A07AC0">
        <w:rPr>
          <w:rFonts w:ascii="Arial" w:hAnsi="Arial" w:cs="Arial"/>
        </w:rPr>
        <w:t xml:space="preserve"> saranno attribuiti dalla Commissione sulla base di una valutazione comparativa e motivata della qualità, della pertinenza e della rilevanza delle esperienze e dei titoli dichiarati rispetto all’oggetto dell’affidamento. La Commissione procederà mediante valutazione tecnico-discrezionale, applicando i criteri indicati nella documentazione di gara e dando conto, nei verbali, degli elementi considerati e delle ragioni della graduazione del punteggio.</w:t>
      </w:r>
    </w:p>
    <w:p w14:paraId="4E74C3C8" w14:textId="77777777" w:rsidR="00A07AC0" w:rsidRPr="00A07AC0" w:rsidRDefault="00A07AC0" w:rsidP="00A07AC0">
      <w:pPr>
        <w:jc w:val="both"/>
        <w:rPr>
          <w:rFonts w:ascii="Arial" w:hAnsi="Arial" w:cs="Arial"/>
        </w:rPr>
      </w:pPr>
      <w:r w:rsidRPr="00A07AC0">
        <w:rPr>
          <w:rFonts w:ascii="Arial" w:hAnsi="Arial" w:cs="Arial"/>
        </w:rPr>
        <w:t xml:space="preserve">Si sottolinea, altresì, che </w:t>
      </w:r>
      <w:r w:rsidRPr="00A07AC0">
        <w:rPr>
          <w:rFonts w:ascii="Arial" w:hAnsi="Arial" w:cs="Arial"/>
          <w:b/>
        </w:rPr>
        <w:t>la presenza ordinaria</w:t>
      </w:r>
      <w:r w:rsidRPr="00A07AC0">
        <w:rPr>
          <w:rFonts w:ascii="Arial" w:hAnsi="Arial" w:cs="Arial"/>
        </w:rPr>
        <w:t xml:space="preserve"> presso la sede comunale e il presidio periodico richiesti dall’avviso devono essere garantiti personalmente dall’avvocato o, nel caso di raggruppamento, dai professionisti indicati nell’offerta come componenti del gruppo incaricato dell’esecuzione del servizio.</w:t>
      </w:r>
    </w:p>
    <w:p w14:paraId="7087A333" w14:textId="77777777" w:rsidR="00A07AC0" w:rsidRPr="00A07AC0" w:rsidRDefault="00A07AC0" w:rsidP="00A07AC0">
      <w:pPr>
        <w:jc w:val="both"/>
        <w:rPr>
          <w:rFonts w:ascii="Arial" w:hAnsi="Arial" w:cs="Arial"/>
        </w:rPr>
      </w:pPr>
      <w:r w:rsidRPr="00A07AC0">
        <w:rPr>
          <w:rFonts w:ascii="Arial" w:hAnsi="Arial" w:cs="Arial"/>
        </w:rPr>
        <w:t>Tali attività non possono essere affidate in via ordinaria a un collaboratore esterno appositamente incaricato e delegato dal raggruppamento. L’avviso e la convenzione prevedono infatti che il servizio sia svolto personalmente dall’avvocato incaricato e consentono il ricorso a sostituti o ausiliari esclusivamente in via eccezionale per le sole udienze, con esclusione delle restanti prestazioni giudiziali e stragiudiziali. È pertanto possibile avvalersi di altro avvocato o di un praticante abilitato per una sostituzione occasionale in udienza, nei limiti consentiti dalla normativa professionale, ma non delegare a un collaboratore la presenza presso la Casa comunale, la reperibilità o le interlocuzioni con gli organi e gli uffici dell’Ente.</w:t>
      </w:r>
    </w:p>
    <w:p w14:paraId="08423012" w14:textId="61031A88" w:rsidR="00A07AC0" w:rsidRDefault="00A07AC0" w:rsidP="00A07AC0">
      <w:pPr>
        <w:jc w:val="both"/>
        <w:rPr>
          <w:rFonts w:ascii="Arial" w:hAnsi="Arial" w:cs="Arial"/>
        </w:rPr>
      </w:pPr>
      <w:r w:rsidRPr="00A07AC0">
        <w:rPr>
          <w:rFonts w:ascii="Arial" w:hAnsi="Arial" w:cs="Arial"/>
        </w:rPr>
        <w:t xml:space="preserve">Le presenti precisazioni non modificano né integrano </w:t>
      </w:r>
      <w:r w:rsidRPr="00A07AC0">
        <w:rPr>
          <w:rFonts w:ascii="Arial" w:hAnsi="Arial" w:cs="Arial"/>
          <w:i/>
        </w:rPr>
        <w:t xml:space="preserve">la </w:t>
      </w:r>
      <w:proofErr w:type="spellStart"/>
      <w:r w:rsidRPr="00A07AC0">
        <w:rPr>
          <w:rFonts w:ascii="Arial" w:hAnsi="Arial" w:cs="Arial"/>
          <w:i/>
        </w:rPr>
        <w:t>lex</w:t>
      </w:r>
      <w:proofErr w:type="spellEnd"/>
      <w:r w:rsidRPr="00A07AC0">
        <w:rPr>
          <w:rFonts w:ascii="Arial" w:hAnsi="Arial" w:cs="Arial"/>
          <w:i/>
        </w:rPr>
        <w:t xml:space="preserve"> </w:t>
      </w:r>
      <w:proofErr w:type="spellStart"/>
      <w:r w:rsidRPr="00A07AC0">
        <w:rPr>
          <w:rFonts w:ascii="Arial" w:hAnsi="Arial" w:cs="Arial"/>
          <w:i/>
        </w:rPr>
        <w:t>specialis</w:t>
      </w:r>
      <w:proofErr w:type="spellEnd"/>
      <w:r w:rsidRPr="00A07AC0">
        <w:rPr>
          <w:rFonts w:ascii="Arial" w:hAnsi="Arial" w:cs="Arial"/>
        </w:rPr>
        <w:t>, ma ne chiariscono la portata applicativa. Restano ferme tutte le ulteriori disposizioni dell’avviso pubblico, della convenzione e della documentazione che sarà trasmessa agli operatori ammessi alla fase negoziata.</w:t>
      </w:r>
    </w:p>
    <w:p w14:paraId="72027029" w14:textId="77777777" w:rsidR="00A07AC0" w:rsidRPr="00A07AC0" w:rsidRDefault="00A07AC0" w:rsidP="00A07AC0">
      <w:pPr>
        <w:jc w:val="both"/>
        <w:rPr>
          <w:rFonts w:ascii="Arial" w:hAnsi="Arial" w:cs="Arial"/>
        </w:rPr>
      </w:pPr>
    </w:p>
    <w:p w14:paraId="63F5752B" w14:textId="77777777" w:rsidR="00D1107B" w:rsidRDefault="00D1107B" w:rsidP="00D1107B"/>
    <w:sectPr w:rsidR="00D110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7E"/>
    <w:rsid w:val="00046EF8"/>
    <w:rsid w:val="000F77A3"/>
    <w:rsid w:val="001915A5"/>
    <w:rsid w:val="001A5F7E"/>
    <w:rsid w:val="001D36C2"/>
    <w:rsid w:val="001E09CD"/>
    <w:rsid w:val="002B4F24"/>
    <w:rsid w:val="002E6B2B"/>
    <w:rsid w:val="00585A3D"/>
    <w:rsid w:val="006D303A"/>
    <w:rsid w:val="00872E76"/>
    <w:rsid w:val="00957B3F"/>
    <w:rsid w:val="00A02ADB"/>
    <w:rsid w:val="00A07AC0"/>
    <w:rsid w:val="00D1107B"/>
    <w:rsid w:val="00E02CB6"/>
    <w:rsid w:val="00EC483B"/>
    <w:rsid w:val="00FB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69F3"/>
  <w15:chartTrackingRefBased/>
  <w15:docId w15:val="{4A3B10DF-64E6-4E33-9F4E-5F8C8D87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5F7E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5F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5F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5F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5F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5F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5F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5F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5F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5F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5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5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5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5F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5F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5F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5F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5F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5F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5F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A5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5F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5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5F7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5F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5F7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A5F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5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5F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5F7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1A5F7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Elettorale</dc:creator>
  <cp:keywords/>
  <dc:description/>
  <cp:lastModifiedBy>Settore Affari Generali STG</cp:lastModifiedBy>
  <cp:revision>5</cp:revision>
  <dcterms:created xsi:type="dcterms:W3CDTF">2026-08-28T09:18:00Z</dcterms:created>
  <dcterms:modified xsi:type="dcterms:W3CDTF">2026-09-02T12:00:00Z</dcterms:modified>
</cp:coreProperties>
</file>