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1.000.000 di euro mediante il sistema della procedura aper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1.000.000 di euro mediante il sistema della procedura aper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