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zioni al bilancio ai sensi dell'articolo 42, comma 2, del T.U. 267/2000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zioni al bilancio ai sensi dell'articolo 42, comma 2, del T.U. 267/2000.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