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transazioni ed ogni disposizione patrimoniale di straordinaria amministr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transazioni ed ogni disposizione patrimoniale di straordinaria amministr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