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con associazioni e altri enti di diritto privato non di competenza del Consiglio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con associazioni e altri enti di diritto privato non di competenza del Consiglio.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