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all'analisi dell'impatto della regolamentazione (AIR) e alla verifica dell'impatto della regolamentazione (VIR) ai sensi dell'art.14, commi 1 e 4,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all'analisi dell'impatto della regolamentazione (AIR) e alla verifica dell'impatto della regolamentazione (VIR) ai sensi dell'art.14, commi 1 e 4,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