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276" w:before="10" w:after="0"/>
        <w:jc w:val="right"/>
        <w:textAlignment w:val="baseline"/>
        <w:rPr>
          <w:rFonts w:eastAsia="Times New Roman"/>
          <w:color w:val="000000"/>
          <w:sz w:val="24"/>
          <w:lang w:val="it-IT"/>
        </w:rPr>
      </w:pPr>
      <w:r>
        <w:rPr>
          <w:rFonts w:eastAsia="Times New Roman"/>
          <w:color w:val="000000"/>
          <w:sz w:val="24"/>
          <w:lang w:val="it-IT"/>
        </w:rPr>
      </w:r>
    </w:p>
    <w:p>
      <w:pPr>
        <w:pStyle w:val="Normal"/>
        <w:spacing w:lineRule="exact" w:line="428" w:before="825" w:after="0"/>
        <w:jc w:val="center"/>
        <w:textAlignment w:val="baseline"/>
        <w:rPr>
          <w:rFonts w:eastAsia="Times New Roman"/>
          <w:b/>
          <w:color w:val="000000"/>
          <w:spacing w:val="4"/>
          <w:sz w:val="39"/>
          <w:lang w:val="it-IT"/>
        </w:rPr>
      </w:pPr>
      <w:r>
        <w:rPr>
          <w:rFonts w:eastAsia="Times New Roman"/>
          <w:b/>
          <w:color w:val="000000"/>
          <w:spacing w:val="4"/>
          <w:sz w:val="39"/>
          <w:lang w:val="it-IT"/>
        </w:rPr>
        <w:t>COMUNE DI GAMBETTOLA</w:t>
      </w:r>
    </w:p>
    <w:p>
      <w:pPr>
        <w:pStyle w:val="Normal"/>
        <w:spacing w:lineRule="exact" w:line="428" w:before="1900" w:after="0"/>
        <w:jc w:val="center"/>
        <w:textAlignment w:val="baseline"/>
        <w:rPr>
          <w:rFonts w:eastAsia="Times New Roman"/>
          <w:b/>
          <w:color w:val="000000"/>
          <w:spacing w:val="5"/>
          <w:sz w:val="39"/>
          <w:lang w:val="it-IT"/>
        </w:rPr>
      </w:pPr>
      <w:r>
        <w:rPr>
          <w:rFonts w:eastAsia="Times New Roman"/>
          <w:b/>
          <w:color w:val="000000"/>
          <w:spacing w:val="5"/>
          <w:sz w:val="39"/>
          <w:lang w:val="it-IT"/>
        </w:rPr>
        <w:t>REGOLAMENTO PER L'APPLICAZIONE</w:t>
      </w:r>
    </w:p>
    <w:p>
      <w:pPr>
        <w:pStyle w:val="Normal"/>
        <w:spacing w:lineRule="exact" w:line="428" w:before="109" w:after="0"/>
        <w:textAlignment w:val="baseline"/>
        <w:rPr>
          <w:rFonts w:eastAsia="Times New Roman"/>
          <w:b/>
          <w:color w:val="000000"/>
          <w:spacing w:val="5"/>
          <w:sz w:val="39"/>
          <w:lang w:val="it-IT"/>
        </w:rPr>
      </w:pPr>
      <w:r>
        <w:rPr>
          <w:rFonts w:eastAsia="Times New Roman"/>
          <w:b/>
          <w:color w:val="000000"/>
          <w:spacing w:val="5"/>
          <w:sz w:val="39"/>
          <w:lang w:val="it-IT"/>
        </w:rPr>
        <w:t>DELL'ADDIZIONALE COMUNALE ALL'IRPEF</w:t>
      </w:r>
    </w:p>
    <w:p>
      <w:pPr>
        <w:pStyle w:val="Normal"/>
        <w:spacing w:lineRule="exact" w:line="276" w:before="10" w:after="0"/>
        <w:jc w:val="right"/>
        <w:textAlignment w:val="baseline"/>
        <w:rPr>
          <w:rFonts w:eastAsia="Times New Roman"/>
          <w:color w:val="000000"/>
          <w:sz w:val="24"/>
          <w:lang w:val="it-IT"/>
        </w:rPr>
      </w:pPr>
      <w:r>
        <w:rPr>
          <w:rFonts w:eastAsia="Times New Roman"/>
          <w:color w:val="000000"/>
          <w:sz w:val="24"/>
          <w:lang w:val="it-IT"/>
        </w:rPr>
      </w:r>
    </w:p>
    <w:p>
      <w:pPr>
        <w:pStyle w:val="Normal"/>
        <w:spacing w:lineRule="exact" w:line="276" w:before="10" w:after="0"/>
        <w:jc w:val="center"/>
        <w:textAlignment w:val="baseline"/>
        <w:rPr>
          <w:rFonts w:eastAsia="Times New Roman"/>
          <w:color w:val="000000"/>
          <w:sz w:val="24"/>
          <w:lang w:val="it-IT"/>
        </w:rPr>
      </w:pPr>
      <w:r>
        <w:rPr>
          <w:rFonts w:eastAsia="Times New Roman"/>
          <w:b/>
          <w:color w:val="000000"/>
          <w:spacing w:val="5"/>
          <w:sz w:val="24"/>
          <w:lang w:val="it-IT"/>
        </w:rPr>
        <w:t>Approvato con delibera C.C. n. 20 del 28/04/2022</w:t>
      </w:r>
    </w:p>
    <w:p>
      <w:pPr>
        <w:pStyle w:val="Normal"/>
        <w:spacing w:lineRule="exact" w:line="276" w:before="10" w:after="0"/>
        <w:jc w:val="center"/>
        <w:textAlignment w:val="baseline"/>
        <w:rPr>
          <w:rFonts w:eastAsia="Times New Roman"/>
          <w:color w:val="000000"/>
          <w:sz w:val="24"/>
          <w:lang w:val="it-IT"/>
        </w:rPr>
      </w:pPr>
      <w:r>
        <w:rPr>
          <w:rFonts w:eastAsia="Times New Roman"/>
          <w:b/>
          <w:color w:val="000000"/>
          <w:spacing w:val="5"/>
          <w:sz w:val="24"/>
          <w:lang w:val="it-IT"/>
        </w:rPr>
        <w:t>Modificato con delibera C.C. n. 69 del 20/12/2024</w:t>
      </w:r>
    </w:p>
    <w:p>
      <w:pPr>
        <w:pStyle w:val="Normal"/>
        <w:spacing w:lineRule="exact" w:line="276" w:before="10" w:after="0"/>
        <w:jc w:val="center"/>
        <w:textAlignment w:val="baseline"/>
        <w:rPr>
          <w:rFonts w:eastAsia="Times New Roman"/>
          <w:color w:val="000000"/>
          <w:sz w:val="24"/>
          <w:lang w:val="it-IT"/>
        </w:rPr>
      </w:pPr>
      <w:r>
        <w:rPr>
          <w:rFonts w:eastAsia="Times New Roman"/>
          <w:color w:val="000000"/>
          <w:sz w:val="24"/>
          <w:lang w:val="it-IT"/>
        </w:rPr>
      </w:r>
    </w:p>
    <w:p>
      <w:pPr>
        <w:pStyle w:val="Normal"/>
        <w:spacing w:lineRule="exact" w:line="276" w:before="10" w:after="0"/>
        <w:jc w:val="center"/>
        <w:textAlignment w:val="baseline"/>
        <w:rPr>
          <w:rFonts w:eastAsia="Times New Roman"/>
          <w:color w:val="000000"/>
          <w:sz w:val="24"/>
          <w:lang w:val="it-IT"/>
        </w:rPr>
      </w:pPr>
      <w:r>
        <w:rPr>
          <w:rFonts w:eastAsia="Times New Roman"/>
          <w:color w:val="000000"/>
          <w:sz w:val="24"/>
          <w:lang w:val="it-IT"/>
        </w:rPr>
      </w:r>
    </w:p>
    <w:p>
      <w:pPr>
        <w:pStyle w:val="Normal"/>
        <w:spacing w:lineRule="exact" w:line="276" w:before="10" w:after="0"/>
        <w:jc w:val="center"/>
        <w:textAlignment w:val="baseline"/>
        <w:rPr>
          <w:rFonts w:eastAsia="Times New Roman"/>
          <w:color w:val="000000"/>
          <w:sz w:val="24"/>
          <w:lang w:val="it-IT"/>
        </w:rPr>
      </w:pPr>
      <w:r>
        <w:rPr>
          <w:rFonts w:eastAsia="Times New Roman"/>
          <w:color w:val="000000"/>
          <w:sz w:val="24"/>
          <w:lang w:val="it-IT"/>
        </w:rPr>
      </w:r>
    </w:p>
    <w:p>
      <w:pPr>
        <w:pStyle w:val="Normal"/>
        <w:spacing w:lineRule="exact" w:line="276" w:before="10" w:after="0"/>
        <w:jc w:val="center"/>
        <w:textAlignment w:val="baseline"/>
        <w:rPr>
          <w:rFonts w:eastAsia="Times New Roman"/>
          <w:color w:val="000000"/>
          <w:sz w:val="24"/>
          <w:lang w:val="it-IT"/>
        </w:rPr>
      </w:pPr>
      <w:r>
        <w:rPr>
          <w:rFonts w:eastAsia="Times New Roman"/>
          <w:color w:val="000000"/>
          <w:sz w:val="24"/>
          <w:lang w:val="it-IT"/>
        </w:rPr>
      </w:r>
    </w:p>
    <w:p>
      <w:pPr>
        <w:pStyle w:val="Normal"/>
        <w:spacing w:lineRule="exact" w:line="276" w:before="10" w:after="0"/>
        <w:jc w:val="center"/>
        <w:textAlignment w:val="baseline"/>
        <w:rPr>
          <w:rFonts w:eastAsia="Times New Roman"/>
          <w:color w:val="000000"/>
          <w:sz w:val="24"/>
          <w:lang w:val="it-IT"/>
        </w:rPr>
      </w:pPr>
      <w:r>
        <w:rPr>
          <w:rFonts w:eastAsia="Times New Roman"/>
          <w:color w:val="000000"/>
          <w:sz w:val="24"/>
          <w:lang w:val="it-IT"/>
        </w:rPr>
      </w:r>
    </w:p>
    <w:p>
      <w:pPr>
        <w:pStyle w:val="Normal"/>
        <w:spacing w:lineRule="exact" w:line="276" w:before="10" w:after="0"/>
        <w:jc w:val="center"/>
        <w:textAlignment w:val="baseline"/>
        <w:rPr>
          <w:rFonts w:eastAsia="Times New Roman"/>
          <w:color w:val="000000"/>
          <w:sz w:val="24"/>
          <w:lang w:val="it-IT"/>
        </w:rPr>
      </w:pPr>
      <w:r>
        <w:rPr>
          <w:rFonts w:eastAsia="Times New Roman"/>
          <w:color w:val="000000"/>
          <w:sz w:val="24"/>
          <w:lang w:val="it-IT"/>
        </w:rPr>
      </w:r>
    </w:p>
    <w:p>
      <w:pPr>
        <w:pStyle w:val="Normal"/>
        <w:spacing w:lineRule="exact" w:line="276" w:before="10" w:after="0"/>
        <w:jc w:val="center"/>
        <w:textAlignment w:val="baseline"/>
        <w:rPr>
          <w:rFonts w:eastAsia="Times New Roman"/>
          <w:color w:val="000000"/>
          <w:sz w:val="24"/>
          <w:lang w:val="it-IT"/>
        </w:rPr>
      </w:pPr>
      <w:r>
        <w:rPr>
          <w:rFonts w:eastAsia="Times New Roman"/>
          <w:b/>
          <w:color w:val="000000"/>
          <w:spacing w:val="3"/>
          <w:sz w:val="27"/>
          <w:lang w:val="it-IT"/>
        </w:rPr>
        <w:t>INDICE</w:t>
      </w:r>
    </w:p>
    <w:p>
      <w:pPr>
        <w:pStyle w:val="Normal"/>
        <w:spacing w:lineRule="exact" w:line="276" w:before="875" w:after="0"/>
        <w:textAlignment w:val="baseline"/>
        <w:rPr>
          <w:rFonts w:eastAsia="Times New Roman"/>
          <w:color w:val="000000"/>
          <w:sz w:val="24"/>
          <w:lang w:val="it-IT"/>
        </w:rPr>
      </w:pPr>
      <w:r>
        <w:rPr>
          <w:rFonts w:eastAsia="Times New Roman"/>
          <w:color w:val="000000"/>
          <w:sz w:val="24"/>
          <w:lang w:val="it-IT"/>
        </w:rPr>
        <w:t>Art. 1 - Oggetto del regolamento</w:t>
      </w:r>
    </w:p>
    <w:p>
      <w:pPr>
        <w:pStyle w:val="Normal"/>
        <w:spacing w:lineRule="exact" w:line="276" w:before="2" w:after="0"/>
        <w:textAlignment w:val="baseline"/>
        <w:rPr>
          <w:rFonts w:eastAsia="Times New Roman"/>
          <w:color w:val="000000"/>
          <w:sz w:val="24"/>
          <w:lang w:val="it-IT"/>
        </w:rPr>
      </w:pPr>
      <w:r>
        <w:rPr>
          <w:rFonts w:eastAsia="Times New Roman"/>
          <w:color w:val="000000"/>
          <w:sz w:val="24"/>
          <w:lang w:val="it-IT"/>
        </w:rPr>
        <w:t>Art. 2 - Aliquota</w:t>
      </w:r>
    </w:p>
    <w:p>
      <w:pPr>
        <w:pStyle w:val="Normal"/>
        <w:spacing w:lineRule="exact" w:line="274"/>
        <w:textAlignment w:val="baseline"/>
        <w:rPr>
          <w:rFonts w:eastAsia="Times New Roman"/>
          <w:color w:val="000000"/>
          <w:sz w:val="24"/>
          <w:lang w:val="it-IT"/>
        </w:rPr>
      </w:pPr>
      <w:r>
        <w:rPr>
          <w:rFonts w:eastAsia="Times New Roman"/>
          <w:color w:val="000000"/>
          <w:sz w:val="24"/>
          <w:lang w:val="it-IT"/>
        </w:rPr>
        <w:t>Art. 3 – Esenzioni</w:t>
      </w:r>
    </w:p>
    <w:p>
      <w:pPr>
        <w:pStyle w:val="Normal"/>
        <w:spacing w:lineRule="exact" w:line="276" w:before="2" w:after="0"/>
        <w:textAlignment w:val="baseline"/>
        <w:rPr>
          <w:rFonts w:eastAsia="Times New Roman"/>
          <w:color w:val="000000"/>
          <w:sz w:val="24"/>
          <w:lang w:val="it-IT"/>
        </w:rPr>
      </w:pPr>
      <w:r>
        <w:rPr>
          <w:rFonts w:eastAsia="Times New Roman"/>
          <w:color w:val="000000"/>
          <w:sz w:val="24"/>
          <w:lang w:val="it-IT"/>
        </w:rPr>
        <w:t>Art. 4 – Entrata in vigore</w:t>
      </w:r>
    </w:p>
    <w:p>
      <w:pPr>
        <w:sectPr>
          <w:type w:val="nextPage"/>
          <w:pgSz w:w="11906" w:h="16838"/>
          <w:pgMar w:left="1560" w:right="1124" w:gutter="0" w:header="0" w:top="1140" w:footer="0" w:bottom="1276"/>
          <w:pgNumType w:fmt="decimal"/>
          <w:formProt w:val="false"/>
          <w:textDirection w:val="lrTb"/>
          <w:docGrid w:type="default" w:linePitch="100" w:charSpace="4096"/>
        </w:sectPr>
        <w:pStyle w:val="Normal"/>
        <w:spacing w:lineRule="exact" w:line="274"/>
        <w:textAlignment w:val="baseline"/>
        <w:rPr/>
      </w:pPr>
      <w:r>
        <w:rPr>
          <w:rFonts w:eastAsia="Times New Roman"/>
          <w:color w:val="000000"/>
          <w:sz w:val="24"/>
          <w:lang w:val="it-IT"/>
        </w:rPr>
        <w:t>Art. 5 – Disposizioni finali</w:t>
      </w:r>
    </w:p>
    <w:p>
      <w:pPr>
        <w:pStyle w:val="Normal"/>
        <w:spacing w:lineRule="exact" w:line="256" w:before="27" w:after="0"/>
        <w:jc w:val="center"/>
        <w:textAlignment w:val="baseline"/>
        <w:rPr>
          <w:rFonts w:eastAsia="Times New Roman"/>
          <w:b/>
          <w:color w:val="000000"/>
          <w:spacing w:val="-2"/>
          <w:sz w:val="24"/>
          <w:lang w:val="it-IT"/>
        </w:rPr>
      </w:pPr>
      <w:r>
        <w:rPr>
          <w:rFonts w:eastAsia="Times New Roman"/>
          <w:b/>
          <w:color w:val="000000"/>
          <w:spacing w:val="-2"/>
          <w:sz w:val="24"/>
          <w:lang w:val="it-IT"/>
        </w:rPr>
        <w:t>Art. 1</w:t>
      </w:r>
    </w:p>
    <w:p>
      <w:pPr>
        <w:pStyle w:val="Normal"/>
        <w:spacing w:lineRule="exact" w:line="256" w:before="42" w:after="0"/>
        <w:jc w:val="center"/>
        <w:textAlignment w:val="baseline"/>
        <w:rPr>
          <w:rFonts w:eastAsia="Times New Roman"/>
          <w:b/>
          <w:color w:val="000000"/>
          <w:sz w:val="24"/>
          <w:lang w:val="it-IT"/>
        </w:rPr>
      </w:pPr>
      <w:r>
        <w:rPr>
          <w:rFonts w:eastAsia="Times New Roman"/>
          <w:b/>
          <w:color w:val="000000"/>
          <w:sz w:val="24"/>
          <w:lang w:val="it-IT"/>
        </w:rPr>
        <w:t>Oggetto del regolamento</w:t>
      </w:r>
    </w:p>
    <w:p>
      <w:pPr>
        <w:pStyle w:val="Normal"/>
        <w:spacing w:lineRule="exact" w:line="277" w:before="374" w:after="0"/>
        <w:ind w:hanging="360" w:left="360"/>
        <w:jc w:val="both"/>
        <w:textAlignment w:val="baseline"/>
        <w:rPr>
          <w:rFonts w:eastAsia="Times New Roman"/>
          <w:color w:val="000000"/>
          <w:sz w:val="24"/>
          <w:lang w:val="it-IT"/>
        </w:rPr>
      </w:pPr>
      <w:r>
        <w:rPr>
          <w:rFonts w:eastAsia="Times New Roman"/>
          <w:color w:val="000000"/>
          <w:sz w:val="24"/>
          <w:lang w:val="it-IT"/>
        </w:rPr>
        <w:t>1. Il presente regolamento è adottato, nell'ambito della potestà regolamentare attribuita ai Comuni dall'art. 52 del D. Lgs. 15 settembre 1997, n. 446 e successive modificazioni ed integrazioni, per disciplinare l'applicazione dell'addizionale comunale all'IRPEF, così come previsto dal D. Lgs. 28 settembre 1998, n. 360 e successive integrazioni e modificazioni.</w:t>
      </w:r>
    </w:p>
    <w:p>
      <w:pPr>
        <w:pStyle w:val="Normal"/>
        <w:spacing w:lineRule="exact" w:line="298" w:before="413" w:after="0"/>
        <w:jc w:val="center"/>
        <w:textAlignment w:val="baseline"/>
        <w:rPr>
          <w:rFonts w:eastAsia="Times New Roman"/>
          <w:b/>
          <w:color w:val="000000"/>
          <w:sz w:val="24"/>
          <w:lang w:val="it-IT"/>
        </w:rPr>
      </w:pPr>
      <w:r>
        <w:rPr>
          <w:rFonts w:eastAsia="Times New Roman"/>
          <w:b/>
          <w:color w:val="000000"/>
          <w:sz w:val="24"/>
          <w:lang w:val="it-IT"/>
        </w:rPr>
        <w:t xml:space="preserve">Art. 2 </w:t>
        <w:br/>
        <w:t>Determinazione dell’aliquota</w:t>
      </w:r>
    </w:p>
    <w:p>
      <w:pPr>
        <w:pStyle w:val="Normal"/>
        <w:numPr>
          <w:ilvl w:val="0"/>
          <w:numId w:val="1"/>
        </w:numPr>
        <w:spacing w:lineRule="exact" w:line="277" w:before="376" w:after="0"/>
        <w:ind w:hanging="360" w:left="360"/>
        <w:jc w:val="both"/>
        <w:textAlignment w:val="baseline"/>
        <w:rPr>
          <w:rFonts w:eastAsia="Times New Roman"/>
          <w:color w:val="000000"/>
          <w:sz w:val="24"/>
          <w:lang w:val="it-IT"/>
        </w:rPr>
      </w:pPr>
      <w:r>
        <w:rPr>
          <w:rFonts w:eastAsia="Times New Roman"/>
          <w:color w:val="000000"/>
          <w:sz w:val="24"/>
          <w:lang w:val="it-IT"/>
        </w:rPr>
        <w:t>La variazione dell'aliquota dell'addizionale comunale all'IRPEF non può eccedere la misura massima stabilita dal legislatore, pari allo 0,8%.</w:t>
      </w:r>
    </w:p>
    <w:p>
      <w:pPr>
        <w:pStyle w:val="Normal"/>
        <w:numPr>
          <w:ilvl w:val="0"/>
          <w:numId w:val="1"/>
        </w:numPr>
        <w:spacing w:lineRule="exact" w:line="277" w:before="79" w:after="40"/>
        <w:ind w:hanging="360" w:left="360"/>
        <w:jc w:val="both"/>
        <w:textAlignment w:val="baseline"/>
        <w:rPr>
          <w:rFonts w:eastAsia="Times New Roman"/>
          <w:color w:val="000000"/>
          <w:sz w:val="24"/>
          <w:lang w:val="it-IT"/>
        </w:rPr>
      </w:pPr>
      <w:r>
        <w:rPr>
          <w:rFonts w:eastAsia="Times New Roman"/>
          <w:color w:val="000000"/>
          <w:sz w:val="24"/>
          <w:lang w:val="it-IT"/>
        </w:rPr>
        <w:t>Le aliquote dell’addizionale comunale all’IRPEF sono differenziate, secondo criteri di progressività del sistema tributario, esclusivamente in relazione agli scaglioni di reddito corrispondenti a quelli stabiliti dalla legge statale per l’IRPEF e precisamente:</w:t>
      </w:r>
    </w:p>
    <w:p>
      <w:pPr>
        <w:pStyle w:val="Normal"/>
        <w:numPr>
          <w:ilvl w:val="0"/>
          <w:numId w:val="0"/>
        </w:numPr>
        <w:spacing w:lineRule="exact" w:line="277" w:before="79" w:after="40"/>
        <w:ind w:hanging="0" w:left="360"/>
        <w:jc w:val="both"/>
        <w:textAlignment w:val="baseline"/>
        <w:rPr>
          <w:rFonts w:eastAsia="Times New Roman"/>
          <w:color w:val="000000"/>
          <w:sz w:val="24"/>
          <w:lang w:val="it-IT"/>
        </w:rPr>
      </w:pPr>
      <w:r>
        <w:rPr/>
      </w:r>
    </w:p>
    <w:tbl>
      <w:tblPr>
        <w:tblW w:w="9525" w:type="dxa"/>
        <w:jc w:val="left"/>
        <w:tblInd w:w="0" w:type="dxa"/>
        <w:tblLayout w:type="fixed"/>
        <w:tblCellMar>
          <w:top w:w="0" w:type="dxa"/>
          <w:left w:w="7" w:type="dxa"/>
          <w:bottom w:w="0" w:type="dxa"/>
          <w:right w:w="0" w:type="dxa"/>
        </w:tblCellMar>
        <w:tblLook w:firstRow="1" w:noVBand="1" w:lastRow="0" w:firstColumn="1" w:lastColumn="0" w:noHBand="0" w:val="04a0"/>
      </w:tblPr>
      <w:tblGrid>
        <w:gridCol w:w="4739"/>
        <w:gridCol w:w="4785"/>
      </w:tblGrid>
      <w:tr>
        <w:trPr>
          <w:trHeight w:val="450" w:hRule="atLeast"/>
        </w:trPr>
        <w:tc>
          <w:tcPr>
            <w:tcW w:w="4739" w:type="dxa"/>
            <w:tcBorders>
              <w:top w:val="single" w:sz="6" w:space="0" w:color="000000"/>
              <w:left w:val="single" w:sz="6" w:space="0" w:color="000000"/>
              <w:bottom w:val="single" w:sz="6" w:space="0" w:color="000000"/>
            </w:tcBorders>
          </w:tcPr>
          <w:p>
            <w:pPr>
              <w:pStyle w:val="Normal"/>
              <w:spacing w:lineRule="auto" w:line="288" w:beforeAutospacing="1" w:after="142"/>
              <w:jc w:val="center"/>
              <w:rPr>
                <w:rFonts w:ascii="Times New Roman" w:hAnsi="Times New Roman"/>
              </w:rPr>
            </w:pPr>
            <w:r>
              <w:rPr>
                <w:rFonts w:cs="Liberation Serif"/>
                <w:b/>
                <w:bCs/>
                <w:color w:val="000000"/>
                <w:lang w:eastAsia="it-IT"/>
              </w:rPr>
              <w:t>Scaglioni di reddito complessivo</w:t>
            </w:r>
          </w:p>
        </w:tc>
        <w:tc>
          <w:tcPr>
            <w:tcW w:w="4785" w:type="dxa"/>
            <w:tcBorders>
              <w:top w:val="single" w:sz="6" w:space="0" w:color="000000"/>
              <w:left w:val="single" w:sz="6" w:space="0" w:color="000000"/>
              <w:bottom w:val="single" w:sz="6" w:space="0" w:color="000000"/>
              <w:right w:val="single" w:sz="6" w:space="0" w:color="000000"/>
            </w:tcBorders>
          </w:tcPr>
          <w:p>
            <w:pPr>
              <w:pStyle w:val="Normal"/>
              <w:spacing w:lineRule="auto" w:line="288" w:beforeAutospacing="1" w:after="142"/>
              <w:jc w:val="center"/>
              <w:rPr>
                <w:rFonts w:ascii="Times New Roman" w:hAnsi="Times New Roman"/>
              </w:rPr>
            </w:pPr>
            <w:r>
              <w:rPr>
                <w:rFonts w:cs="Liberation Serif"/>
                <w:b/>
                <w:bCs/>
                <w:color w:val="000000"/>
                <w:lang w:eastAsia="it-IT"/>
              </w:rPr>
              <w:t>Aliquota Addizionale Comunale all’irpef</w:t>
            </w:r>
          </w:p>
        </w:tc>
      </w:tr>
      <w:tr>
        <w:trPr/>
        <w:tc>
          <w:tcPr>
            <w:tcW w:w="4739" w:type="dxa"/>
            <w:tcBorders>
              <w:top w:val="single" w:sz="6" w:space="0" w:color="000000"/>
              <w:left w:val="single" w:sz="6" w:space="0" w:color="000000"/>
              <w:bottom w:val="single" w:sz="6" w:space="0" w:color="000000"/>
            </w:tcBorders>
          </w:tcPr>
          <w:p>
            <w:pPr>
              <w:pStyle w:val="Normale"/>
              <w:widowControl/>
              <w:jc w:val="center"/>
              <w:textAlignment w:val="auto"/>
              <w:rPr>
                <w:rFonts w:ascii="Times New Roman" w:hAnsi="Times New Roman" w:eastAsia="Times New Roman" w:cs="Arial"/>
                <w:color w:val="000000"/>
                <w:sz w:val="20"/>
                <w:szCs w:val="20"/>
              </w:rPr>
            </w:pPr>
            <w:r>
              <w:rPr>
                <w:rFonts w:eastAsia="Times New Roman" w:cs="Arial"/>
                <w:color w:val="000000"/>
                <w:sz w:val="20"/>
                <w:szCs w:val="20"/>
              </w:rPr>
              <w:t>Da 0,00 fino a € 28.000</w:t>
            </w:r>
          </w:p>
        </w:tc>
        <w:tc>
          <w:tcPr>
            <w:tcW w:w="4785" w:type="dxa"/>
            <w:tcBorders>
              <w:top w:val="single" w:sz="6" w:space="0" w:color="000000"/>
              <w:left w:val="single" w:sz="6" w:space="0" w:color="000000"/>
              <w:bottom w:val="single" w:sz="6" w:space="0" w:color="000000"/>
              <w:right w:val="single" w:sz="6" w:space="0" w:color="000000"/>
            </w:tcBorders>
          </w:tcPr>
          <w:p>
            <w:pPr>
              <w:pStyle w:val="Normale"/>
              <w:widowControl/>
              <w:jc w:val="center"/>
              <w:textAlignment w:val="auto"/>
              <w:rPr>
                <w:rFonts w:ascii="Times New Roman" w:hAnsi="Times New Roman" w:eastAsia="Times New Roman" w:cs="Arial"/>
                <w:color w:val="000000"/>
                <w:sz w:val="20"/>
                <w:szCs w:val="20"/>
              </w:rPr>
            </w:pPr>
            <w:r>
              <w:rPr>
                <w:rFonts w:eastAsia="Times New Roman" w:cs="Arial"/>
                <w:color w:val="000000"/>
                <w:sz w:val="20"/>
                <w:szCs w:val="20"/>
              </w:rPr>
              <w:t>0,55%</w:t>
            </w:r>
          </w:p>
        </w:tc>
      </w:tr>
      <w:tr>
        <w:trPr/>
        <w:tc>
          <w:tcPr>
            <w:tcW w:w="4739" w:type="dxa"/>
            <w:tcBorders>
              <w:top w:val="single" w:sz="6" w:space="0" w:color="000000"/>
              <w:left w:val="single" w:sz="6" w:space="0" w:color="000000"/>
              <w:bottom w:val="single" w:sz="6" w:space="0" w:color="000000"/>
            </w:tcBorders>
          </w:tcPr>
          <w:p>
            <w:pPr>
              <w:pStyle w:val="Normale"/>
              <w:widowControl/>
              <w:jc w:val="center"/>
              <w:textAlignment w:val="auto"/>
              <w:rPr>
                <w:rFonts w:ascii="Times New Roman" w:hAnsi="Times New Roman" w:eastAsia="Times New Roman" w:cs="Arial"/>
                <w:color w:val="000000"/>
                <w:sz w:val="20"/>
                <w:szCs w:val="20"/>
              </w:rPr>
            </w:pPr>
            <w:r>
              <w:rPr>
                <w:rFonts w:eastAsia="Times New Roman" w:cs="Arial"/>
                <w:color w:val="000000"/>
                <w:sz w:val="20"/>
                <w:szCs w:val="20"/>
              </w:rPr>
              <w:t>Oltre a € 28.000 e fino a € 50.000</w:t>
            </w:r>
          </w:p>
        </w:tc>
        <w:tc>
          <w:tcPr>
            <w:tcW w:w="4785" w:type="dxa"/>
            <w:tcBorders>
              <w:top w:val="single" w:sz="6" w:space="0" w:color="000000"/>
              <w:left w:val="single" w:sz="6" w:space="0" w:color="000000"/>
              <w:bottom w:val="single" w:sz="6" w:space="0" w:color="000000"/>
              <w:right w:val="single" w:sz="6" w:space="0" w:color="000000"/>
            </w:tcBorders>
          </w:tcPr>
          <w:p>
            <w:pPr>
              <w:pStyle w:val="Normale"/>
              <w:widowControl/>
              <w:jc w:val="center"/>
              <w:textAlignment w:val="auto"/>
              <w:rPr>
                <w:rFonts w:ascii="Times New Roman" w:hAnsi="Times New Roman" w:eastAsia="Times New Roman" w:cs="Arial"/>
                <w:color w:val="000000"/>
                <w:sz w:val="20"/>
                <w:szCs w:val="20"/>
              </w:rPr>
            </w:pPr>
            <w:r>
              <w:rPr>
                <w:rFonts w:eastAsia="Times New Roman" w:cs="Arial"/>
                <w:color w:val="000000"/>
                <w:sz w:val="20"/>
                <w:szCs w:val="20"/>
              </w:rPr>
              <w:t>0,75%</w:t>
            </w:r>
          </w:p>
        </w:tc>
      </w:tr>
      <w:tr>
        <w:trPr/>
        <w:tc>
          <w:tcPr>
            <w:tcW w:w="4739" w:type="dxa"/>
            <w:tcBorders>
              <w:top w:val="single" w:sz="6" w:space="0" w:color="000000"/>
              <w:left w:val="single" w:sz="6" w:space="0" w:color="000000"/>
              <w:bottom w:val="single" w:sz="6" w:space="0" w:color="000000"/>
            </w:tcBorders>
          </w:tcPr>
          <w:p>
            <w:pPr>
              <w:pStyle w:val="Normale"/>
              <w:widowControl/>
              <w:jc w:val="center"/>
              <w:textAlignment w:val="auto"/>
              <w:rPr>
                <w:rFonts w:ascii="Times New Roman" w:hAnsi="Times New Roman" w:eastAsia="Times New Roman" w:cs="Arial"/>
                <w:color w:val="000000"/>
                <w:sz w:val="20"/>
                <w:szCs w:val="20"/>
              </w:rPr>
            </w:pPr>
            <w:r>
              <w:rPr>
                <w:rFonts w:eastAsia="Times New Roman" w:cs="Arial"/>
                <w:color w:val="000000"/>
                <w:sz w:val="20"/>
                <w:szCs w:val="20"/>
              </w:rPr>
              <w:t>Oltre € 50.000</w:t>
            </w:r>
          </w:p>
        </w:tc>
        <w:tc>
          <w:tcPr>
            <w:tcW w:w="4785" w:type="dxa"/>
            <w:tcBorders>
              <w:top w:val="single" w:sz="6" w:space="0" w:color="000000"/>
              <w:left w:val="single" w:sz="6" w:space="0" w:color="000000"/>
              <w:bottom w:val="single" w:sz="6" w:space="0" w:color="000000"/>
              <w:right w:val="single" w:sz="6" w:space="0" w:color="000000"/>
            </w:tcBorders>
          </w:tcPr>
          <w:p>
            <w:pPr>
              <w:pStyle w:val="Normale"/>
              <w:widowControl/>
              <w:jc w:val="center"/>
              <w:textAlignment w:val="auto"/>
              <w:rPr>
                <w:rFonts w:ascii="Times New Roman" w:hAnsi="Times New Roman" w:eastAsia="Times New Roman" w:cs="Arial"/>
                <w:color w:val="000000"/>
                <w:sz w:val="20"/>
                <w:szCs w:val="20"/>
              </w:rPr>
            </w:pPr>
            <w:r>
              <w:rPr>
                <w:rFonts w:eastAsia="Times New Roman" w:cs="Arial"/>
                <w:color w:val="000000"/>
                <w:sz w:val="20"/>
                <w:szCs w:val="20"/>
              </w:rPr>
              <w:t>0,80%</w:t>
            </w:r>
          </w:p>
        </w:tc>
      </w:tr>
    </w:tbl>
    <w:p>
      <w:pPr>
        <w:pStyle w:val="Normal"/>
        <w:tabs>
          <w:tab w:val="clear" w:pos="708"/>
          <w:tab w:val="left" w:pos="360" w:leader="none"/>
        </w:tabs>
        <w:spacing w:lineRule="exact" w:line="277" w:before="79" w:after="40"/>
        <w:ind w:left="357"/>
        <w:jc w:val="both"/>
        <w:textAlignment w:val="baseline"/>
        <w:rPr>
          <w:rFonts w:eastAsia="Times New Roman"/>
          <w:color w:val="000000"/>
          <w:sz w:val="24"/>
          <w:lang w:val="it-IT"/>
        </w:rPr>
      </w:pPr>
      <w:r>
        <w:rPr>
          <w:rFonts w:eastAsia="Times New Roman"/>
          <w:color w:val="000000"/>
          <w:sz w:val="24"/>
          <w:lang w:val="it-IT"/>
        </w:rPr>
      </w:r>
    </w:p>
    <w:p>
      <w:pPr>
        <w:pStyle w:val="Normal"/>
        <w:numPr>
          <w:ilvl w:val="0"/>
          <w:numId w:val="1"/>
        </w:numPr>
        <w:spacing w:lineRule="exact" w:line="277" w:before="4" w:after="0"/>
        <w:ind w:hanging="360" w:left="360"/>
        <w:jc w:val="both"/>
        <w:textAlignment w:val="baseline"/>
        <w:rPr>
          <w:rFonts w:eastAsia="Times New Roman"/>
          <w:color w:val="000000"/>
          <w:sz w:val="24"/>
          <w:lang w:val="it-IT"/>
        </w:rPr>
      </w:pPr>
      <w:r>
        <w:rPr>
          <w:rFonts w:eastAsia="Times New Roman"/>
          <w:color w:val="000000"/>
          <w:sz w:val="24"/>
          <w:lang w:val="it-IT"/>
        </w:rPr>
        <w:t xml:space="preserve">Le aliquote sono determinate annualmente nei limiti di quanto stabilito dalle normative vigenti, con apposita deliberazione del Consiglio Comunale da adottare entro la data fissata da norme statali per la deliberazione del bilancio di previsione. </w:t>
      </w:r>
    </w:p>
    <w:p>
      <w:pPr>
        <w:pStyle w:val="Normal"/>
        <w:tabs>
          <w:tab w:val="clear" w:pos="708"/>
          <w:tab w:val="left" w:pos="360" w:leader="none"/>
        </w:tabs>
        <w:spacing w:lineRule="exact" w:line="277" w:before="4" w:after="0"/>
        <w:ind w:left="360"/>
        <w:jc w:val="both"/>
        <w:textAlignment w:val="baseline"/>
        <w:rPr>
          <w:rFonts w:eastAsia="Times New Roman"/>
          <w:color w:val="000000"/>
          <w:sz w:val="24"/>
          <w:lang w:val="it-IT"/>
        </w:rPr>
      </w:pPr>
      <w:r>
        <w:rPr>
          <w:rFonts w:eastAsia="Times New Roman"/>
          <w:color w:val="000000"/>
          <w:sz w:val="24"/>
          <w:lang w:val="it-IT"/>
        </w:rPr>
      </w:r>
    </w:p>
    <w:p>
      <w:pPr>
        <w:pStyle w:val="Normal"/>
        <w:numPr>
          <w:ilvl w:val="0"/>
          <w:numId w:val="1"/>
        </w:numPr>
        <w:spacing w:lineRule="exact" w:line="277" w:before="4" w:after="0"/>
        <w:ind w:hanging="360" w:left="360"/>
        <w:jc w:val="both"/>
        <w:textAlignment w:val="baseline"/>
        <w:rPr>
          <w:rFonts w:eastAsia="Times New Roman"/>
          <w:color w:val="000000"/>
          <w:sz w:val="24"/>
          <w:lang w:val="it-IT"/>
        </w:rPr>
      </w:pPr>
      <w:r>
        <w:rPr>
          <w:rFonts w:eastAsia="Times New Roman"/>
          <w:color w:val="000000"/>
          <w:sz w:val="24"/>
          <w:lang w:val="it-IT"/>
        </w:rPr>
        <w:t>In assenza di tale provvedimento restano confermate le aliquote vigenti nel precedente esercizio.</w:t>
      </w:r>
    </w:p>
    <w:p>
      <w:pPr>
        <w:pStyle w:val="ListParagraph"/>
        <w:rPr>
          <w:rFonts w:eastAsia="Times New Roman"/>
          <w:color w:val="000000"/>
          <w:sz w:val="24"/>
          <w:lang w:val="it-IT"/>
        </w:rPr>
      </w:pPr>
      <w:r>
        <w:rPr>
          <w:rFonts w:eastAsia="Times New Roman"/>
          <w:color w:val="000000"/>
          <w:sz w:val="24"/>
          <w:lang w:val="it-IT"/>
        </w:rPr>
      </w:r>
    </w:p>
    <w:p>
      <w:pPr>
        <w:pStyle w:val="Normal"/>
        <w:numPr>
          <w:ilvl w:val="0"/>
          <w:numId w:val="1"/>
        </w:numPr>
        <w:spacing w:lineRule="exact" w:line="277" w:before="4" w:after="0"/>
        <w:ind w:hanging="360" w:left="360"/>
        <w:jc w:val="both"/>
        <w:textAlignment w:val="baseline"/>
        <w:rPr>
          <w:rFonts w:eastAsia="Times New Roman"/>
          <w:color w:val="000000"/>
          <w:sz w:val="24"/>
          <w:lang w:val="it-IT"/>
        </w:rPr>
      </w:pPr>
      <w:r>
        <w:rPr>
          <w:rFonts w:eastAsia="Times New Roman"/>
          <w:color w:val="000000"/>
          <w:sz w:val="24"/>
          <w:lang w:val="it-IT"/>
        </w:rPr>
        <w:t>La deliberazione dell’aliquota è pubblicata ed acquista efficacia secondo le previsioni stabilite dalla normativa vigente.</w:t>
      </w:r>
    </w:p>
    <w:p>
      <w:pPr>
        <w:pStyle w:val="Normal"/>
        <w:tabs>
          <w:tab w:val="clear" w:pos="708"/>
          <w:tab w:val="left" w:pos="360" w:leader="none"/>
        </w:tabs>
        <w:spacing w:lineRule="exact" w:line="277" w:before="4" w:after="0"/>
        <w:ind w:left="360"/>
        <w:jc w:val="both"/>
        <w:textAlignment w:val="baseline"/>
        <w:rPr>
          <w:rFonts w:eastAsia="Times New Roman"/>
          <w:color w:val="000000"/>
          <w:sz w:val="24"/>
          <w:lang w:val="it-IT"/>
        </w:rPr>
      </w:pPr>
      <w:r>
        <w:rPr>
          <w:rFonts w:eastAsia="Times New Roman"/>
          <w:color w:val="000000"/>
          <w:sz w:val="24"/>
          <w:lang w:val="it-IT"/>
        </w:rPr>
      </w:r>
    </w:p>
    <w:p>
      <w:pPr>
        <w:pStyle w:val="Normal"/>
        <w:spacing w:lineRule="exact" w:line="258"/>
        <w:jc w:val="center"/>
        <w:textAlignment w:val="baseline"/>
        <w:rPr>
          <w:strike w:val="false"/>
          <w:dstrike w:val="false"/>
        </w:rPr>
      </w:pPr>
      <w:r>
        <w:rPr>
          <w:rFonts w:eastAsia="Times New Roman"/>
          <w:b/>
          <w:strike w:val="false"/>
          <w:dstrike w:val="false"/>
          <w:color w:val="000000"/>
          <w:sz w:val="24"/>
          <w:lang w:val="it-IT"/>
        </w:rPr>
        <w:t>Art. 3</w:t>
      </w:r>
    </w:p>
    <w:p>
      <w:pPr>
        <w:pStyle w:val="Normal"/>
        <w:spacing w:lineRule="exact" w:line="258"/>
        <w:jc w:val="center"/>
        <w:textAlignment w:val="baseline"/>
        <w:rPr>
          <w:strike w:val="false"/>
          <w:dstrike w:val="false"/>
        </w:rPr>
      </w:pPr>
      <w:r>
        <w:rPr>
          <w:rFonts w:eastAsia="Times New Roman"/>
          <w:b/>
          <w:strike w:val="false"/>
          <w:dstrike w:val="false"/>
          <w:color w:val="000000"/>
          <w:sz w:val="24"/>
          <w:lang w:val="it-IT"/>
        </w:rPr>
        <w:t>Esenzioni</w:t>
      </w:r>
    </w:p>
    <w:p>
      <w:pPr>
        <w:pStyle w:val="ListParagraph"/>
        <w:numPr>
          <w:ilvl w:val="0"/>
          <w:numId w:val="3"/>
        </w:numPr>
        <w:spacing w:lineRule="exact" w:line="277" w:before="71" w:after="0"/>
        <w:ind w:hanging="360" w:left="426"/>
        <w:contextualSpacing/>
        <w:jc w:val="both"/>
        <w:textAlignment w:val="baseline"/>
        <w:rPr>
          <w:strike w:val="false"/>
          <w:dstrike w:val="false"/>
        </w:rPr>
      </w:pPr>
      <w:r>
        <w:rPr>
          <w:rFonts w:eastAsia="Times New Roman"/>
          <w:strike w:val="false"/>
          <w:dstrike w:val="false"/>
          <w:color w:val="000000"/>
          <w:sz w:val="24"/>
          <w:lang w:val="it-IT"/>
        </w:rPr>
        <w:t>L’addizionale comunale all’Irpef di cui all’art.1 del presente Regolamento non è dovuta se il reddito complessivo, determinato ai fini dell’imposta sul reddito delle persone fisiche, non supera l’importo di € 10.000,00.</w:t>
      </w:r>
    </w:p>
    <w:p>
      <w:pPr>
        <w:pStyle w:val="ListParagraph"/>
        <w:numPr>
          <w:ilvl w:val="0"/>
          <w:numId w:val="3"/>
        </w:numPr>
        <w:spacing w:lineRule="exact" w:line="277" w:before="71" w:after="0"/>
        <w:ind w:hanging="360" w:left="426"/>
        <w:contextualSpacing/>
        <w:jc w:val="both"/>
        <w:textAlignment w:val="baseline"/>
        <w:rPr>
          <w:strike w:val="false"/>
          <w:dstrike w:val="false"/>
        </w:rPr>
      </w:pPr>
      <w:r>
        <w:rPr>
          <w:rFonts w:eastAsia="Times New Roman"/>
          <w:strike w:val="false"/>
          <w:dstrike w:val="false"/>
          <w:color w:val="000000"/>
          <w:sz w:val="24"/>
          <w:lang w:val="it-IT"/>
        </w:rPr>
        <w:t>Se il reddito imponibile supera la soglia di esenzione di € 10.000,00 di cui al precedente comma1, l’addizionale di cui all’art. 1 del presente Regolamento è dovuta ed è determinata applicando le aliquote di cui all’art. 2, comma 2, del presente Regolamento, al reddito complessivo.</w:t>
      </w:r>
    </w:p>
    <w:p>
      <w:pPr>
        <w:pStyle w:val="Normal"/>
        <w:spacing w:lineRule="exact" w:line="277" w:before="71" w:after="0"/>
        <w:ind w:left="360"/>
        <w:jc w:val="both"/>
        <w:textAlignment w:val="baseline"/>
        <w:rPr>
          <w:rFonts w:eastAsia="Times New Roman"/>
          <w:color w:val="000000"/>
          <w:sz w:val="24"/>
          <w:lang w:val="it-IT"/>
        </w:rPr>
      </w:pPr>
      <w:r>
        <w:rPr>
          <w:rFonts w:eastAsia="Times New Roman"/>
          <w:color w:val="000000"/>
          <w:sz w:val="24"/>
          <w:lang w:val="it-IT"/>
        </w:rPr>
      </w:r>
    </w:p>
    <w:p>
      <w:pPr>
        <w:pStyle w:val="Normal"/>
        <w:spacing w:lineRule="exact" w:line="258" w:before="47" w:after="0"/>
        <w:jc w:val="center"/>
        <w:textAlignment w:val="baseline"/>
        <w:rPr>
          <w:rFonts w:eastAsia="Times New Roman"/>
          <w:b/>
          <w:color w:val="000000"/>
          <w:spacing w:val="-1"/>
          <w:sz w:val="24"/>
          <w:lang w:val="it-IT"/>
        </w:rPr>
      </w:pPr>
      <w:r>
        <w:rPr>
          <w:rFonts w:eastAsia="Times New Roman"/>
          <w:b/>
          <w:color w:val="000000"/>
          <w:spacing w:val="-1"/>
          <w:sz w:val="24"/>
          <w:lang w:val="it-IT"/>
        </w:rPr>
        <w:t>Art. 4</w:t>
      </w:r>
    </w:p>
    <w:p>
      <w:pPr>
        <w:pStyle w:val="Normal"/>
        <w:spacing w:lineRule="exact" w:line="258" w:before="40" w:after="0"/>
        <w:jc w:val="center"/>
        <w:textAlignment w:val="baseline"/>
        <w:rPr>
          <w:rFonts w:eastAsia="Times New Roman"/>
          <w:b/>
          <w:color w:val="000000"/>
          <w:sz w:val="24"/>
          <w:lang w:val="it-IT"/>
        </w:rPr>
      </w:pPr>
      <w:r>
        <w:rPr>
          <w:rFonts w:eastAsia="Times New Roman"/>
          <w:b/>
          <w:color w:val="000000"/>
          <w:sz w:val="24"/>
          <w:lang w:val="it-IT"/>
        </w:rPr>
        <w:t>Entrata in vigore</w:t>
      </w:r>
    </w:p>
    <w:p>
      <w:pPr>
        <w:pStyle w:val="Normal"/>
        <w:spacing w:lineRule="exact" w:line="258" w:before="395" w:after="0"/>
        <w:textAlignment w:val="baseline"/>
        <w:rPr>
          <w:rFonts w:eastAsia="Times New Roman"/>
          <w:color w:val="000000"/>
          <w:spacing w:val="1"/>
          <w:sz w:val="24"/>
          <w:lang w:val="it-IT"/>
        </w:rPr>
      </w:pPr>
      <w:r>
        <w:rPr>
          <w:rFonts w:eastAsia="Times New Roman"/>
          <w:color w:val="000000"/>
          <w:spacing w:val="1"/>
          <w:sz w:val="24"/>
          <w:lang w:val="it-IT"/>
        </w:rPr>
        <w:t xml:space="preserve">1. Il presente regolamento entra in vigore dal 01.01.2022. </w:t>
      </w:r>
    </w:p>
    <w:p>
      <w:pPr>
        <w:pStyle w:val="Normal"/>
        <w:spacing w:lineRule="exact" w:line="258" w:before="452" w:after="0"/>
        <w:jc w:val="center"/>
        <w:textAlignment w:val="baseline"/>
        <w:rPr>
          <w:rFonts w:eastAsia="Times New Roman"/>
          <w:b/>
          <w:color w:val="000000"/>
          <w:sz w:val="24"/>
          <w:lang w:val="it-IT"/>
        </w:rPr>
      </w:pPr>
      <w:r>
        <w:rPr>
          <w:rFonts w:eastAsia="Times New Roman"/>
          <w:b/>
          <w:color w:val="000000"/>
          <w:sz w:val="24"/>
          <w:lang w:val="it-IT"/>
        </w:rPr>
        <w:t>Art. 5 Disposizioni finali</w:t>
      </w:r>
    </w:p>
    <w:p>
      <w:pPr>
        <w:pStyle w:val="Normal"/>
        <w:spacing w:lineRule="exact" w:line="258"/>
        <w:textAlignment w:val="baseline"/>
        <w:rPr>
          <w:rFonts w:eastAsia="Times New Roman"/>
          <w:b/>
          <w:color w:val="000000"/>
          <w:sz w:val="24"/>
          <w:lang w:val="it-IT"/>
        </w:rPr>
      </w:pPr>
      <w:r>
        <w:rPr>
          <w:rFonts w:eastAsia="Times New Roman"/>
          <w:b/>
          <w:color w:val="000000"/>
          <w:sz w:val="24"/>
          <w:lang w:val="it-IT"/>
        </w:rPr>
      </w:r>
    </w:p>
    <w:p>
      <w:pPr>
        <w:pStyle w:val="Normal"/>
        <w:numPr>
          <w:ilvl w:val="0"/>
          <w:numId w:val="2"/>
        </w:numPr>
        <w:spacing w:lineRule="exact" w:line="258" w:before="81" w:after="0"/>
        <w:ind w:hanging="360" w:left="360"/>
        <w:jc w:val="both"/>
        <w:textAlignment w:val="baseline"/>
        <w:rPr>
          <w:rFonts w:eastAsia="Times New Roman"/>
          <w:color w:val="000000"/>
          <w:sz w:val="24"/>
          <w:lang w:val="it-IT"/>
        </w:rPr>
      </w:pPr>
      <w:r>
        <w:rPr>
          <w:rFonts w:eastAsia="Times New Roman"/>
          <w:color w:val="000000"/>
          <w:sz w:val="24"/>
          <w:lang w:val="it-IT"/>
        </w:rPr>
        <w:t>Per quanto non espressamente previsto dal presente regolamento, si applicano le disposizioni di legge vigenti in materia.</w:t>
      </w:r>
    </w:p>
    <w:p>
      <w:pPr>
        <w:pStyle w:val="Normal"/>
        <w:numPr>
          <w:ilvl w:val="0"/>
          <w:numId w:val="2"/>
        </w:numPr>
        <w:spacing w:lineRule="exact" w:line="258" w:before="79" w:after="0"/>
        <w:ind w:hanging="360" w:left="360"/>
        <w:jc w:val="both"/>
        <w:textAlignment w:val="baseline"/>
        <w:rPr>
          <w:rFonts w:eastAsia="Times New Roman"/>
          <w:color w:val="000000"/>
          <w:sz w:val="24"/>
          <w:lang w:val="it-IT"/>
        </w:rPr>
      </w:pPr>
      <w:r>
        <w:rPr>
          <w:rFonts w:eastAsia="Times New Roman"/>
          <w:color w:val="000000"/>
          <w:sz w:val="24"/>
          <w:lang w:val="it-IT"/>
        </w:rPr>
        <w:t>Le norme del presente regolamento si intendono modificate per effetto di sopravvenute disposizioni normative vincolanti statali. In tali casi, in attesa della formale modificazione del presente regolamento, si applica la normativa sovraordinata.</w:t>
      </w:r>
    </w:p>
    <w:sectPr>
      <w:type w:val="nextPage"/>
      <w:pgSz w:w="11906" w:h="16838"/>
      <w:pgMar w:left="1494" w:right="1130" w:gutter="0" w:header="0" w:top="1120" w:footer="0" w:bottom="1418"/>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720" w:hanging="0"/>
      </w:pPr>
      <w:rPr>
        <w:dstrike w:val="false"/>
        <w:strike w:val="false"/>
        <w:vertAlign w:val="baseline"/>
        <w:position w:val="0"/>
        <w:sz w:val="24"/>
        <w:sz w:val="24"/>
        <w:spacing w:val="0"/>
        <w:w w:val="100"/>
        <w:rFonts w:ascii="Times New Roman" w:hAnsi="Times New Roman" w:eastAsia="Times New Roman"/>
        <w:color w:val="000000"/>
        <w:lang w:val="it-I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decimal"/>
      <w:lvlText w:val="%1."/>
      <w:lvlJc w:val="left"/>
      <w:pPr>
        <w:tabs>
          <w:tab w:val="num" w:pos="360"/>
        </w:tabs>
        <w:ind w:left="720" w:hanging="0"/>
      </w:pPr>
      <w:rPr>
        <w:dstrike w:val="false"/>
        <w:strike w:val="false"/>
        <w:vertAlign w:val="baseline"/>
        <w:position w:val="0"/>
        <w:sz w:val="24"/>
        <w:sz w:val="24"/>
        <w:spacing w:val="0"/>
        <w:w w:val="100"/>
        <w:rFonts w:ascii="Times New Roman" w:hAnsi="Times New Roman" w:eastAsia="Times New Roman"/>
        <w:color w:val="000000"/>
        <w:lang w:val="it-I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PMingLiU" w:cs="Times New Roman"/>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PMingLiU"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626653"/>
    <w:pPr>
      <w:spacing w:before="0" w:after="0"/>
      <w:ind w:left="720"/>
      <w:contextualSpacing/>
    </w:pPr>
    <w:rPr/>
  </w:style>
  <w:style w:type="paragraph" w:styleId="Normale">
    <w:name w:val="Normale"/>
    <w:qFormat/>
    <w:pPr>
      <w:widowControl/>
      <w:suppressAutoHyphens w:val="true"/>
      <w:bidi w:val="0"/>
      <w:spacing w:before="0" w:after="0"/>
      <w:jc w:val="left"/>
    </w:pPr>
    <w:rPr>
      <w:rFonts w:ascii="Times New Roman" w:hAnsi="Times New Roman" w:eastAsia="PMingLiU" w:cs="Times New Roman"/>
      <w:color w:val="auto"/>
      <w:kern w:val="0"/>
      <w:sz w:val="24"/>
      <w:szCs w:val="24"/>
      <w:lang w:val="en-US" w:eastAsia="en-US" w:bidi="ar-SA"/>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TotalTime>
  <Application>LibreOffice/7.6.5.2$Windows_X86_64 LibreOffice_project/38d5f62f85355c192ef5f1dd47c5c0c0c6d6598b</Application>
  <AppVersion>15.0000</AppVersion>
  <Pages>3</Pages>
  <Words>404</Words>
  <Characters>2406</Characters>
  <CharactersWithSpaces>2769</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2022-03-10T15:49:00Z</dcterms:created>
  <dc:creator>Tarcisio Brandolini</dc:creator>
  <dc:description/>
  <dc:language>it-IT</dc:language>
  <cp:lastModifiedBy/>
  <dcterms:modified xsi:type="dcterms:W3CDTF">2025-01-27T12:45:55Z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