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5998" w14:textId="11F4D5FE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  <w:r w:rsidRPr="00B11FF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8C22678" wp14:editId="4B4AC872">
            <wp:simplePos x="0" y="0"/>
            <wp:positionH relativeFrom="column">
              <wp:posOffset>0</wp:posOffset>
            </wp:positionH>
            <wp:positionV relativeFrom="paragraph">
              <wp:posOffset>609600</wp:posOffset>
            </wp:positionV>
            <wp:extent cx="2842260" cy="1189894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UTOSTAZIO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189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69C8A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7330224A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5E83C649" w14:textId="77777777" w:rsidR="00242C1B" w:rsidRPr="00B11FF1" w:rsidRDefault="00242C1B" w:rsidP="00EC2C26">
      <w:pPr>
        <w:spacing w:before="300" w:after="300" w:line="240" w:lineRule="auto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36C66BE9" w14:textId="77777777" w:rsidR="00242C1B" w:rsidRPr="00B11FF1" w:rsidRDefault="00242C1B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49C13032" w14:textId="409DC59B" w:rsidR="00EC2C26" w:rsidRPr="00B11FF1" w:rsidRDefault="00242C1B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  <w:r w:rsidRPr="00B11FF1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>19</w:t>
      </w:r>
      <w:r w:rsidR="00EC2C26" w:rsidRPr="00B11FF1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 xml:space="preserve"> - </w:t>
      </w:r>
      <w:r w:rsidR="00285C32" w:rsidRPr="00285C32"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  <w:t>PROCÉDURE DE RÉCLAMATION</w:t>
      </w:r>
    </w:p>
    <w:p w14:paraId="147DF6EB" w14:textId="6631130B" w:rsidR="00EC2C26" w:rsidRPr="00B11FF1" w:rsidRDefault="00EC2C26" w:rsidP="00F14AF1">
      <w:pPr>
        <w:spacing w:line="240" w:lineRule="auto"/>
        <w:jc w:val="both"/>
        <w:rPr>
          <w:rFonts w:ascii="Arial" w:hAnsi="Arial" w:cs="Arial"/>
          <w:b/>
        </w:rPr>
      </w:pPr>
    </w:p>
    <w:p w14:paraId="77021D03" w14:textId="77777777" w:rsidR="00285C32" w:rsidRDefault="00285C32" w:rsidP="00F14AF1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285C32">
        <w:rPr>
          <w:rFonts w:ascii="Arial" w:hAnsi="Arial" w:cs="Arial"/>
          <w:b/>
        </w:rPr>
        <w:t>PRÉAMBULE</w:t>
      </w:r>
    </w:p>
    <w:p w14:paraId="0E6FB0E8" w14:textId="77777777" w:rsidR="00285C32" w:rsidRDefault="00285C32" w:rsidP="00F14AF1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52A4D290" w14:textId="77777777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Règlement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(UE) n. 181/2011, qui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établit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droits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passagers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voyageant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autobus, est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vigueur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depuis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1er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2013. Ce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règlement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prévoit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droits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analogues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déjà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reconnus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passagers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aérien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ferroviaire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maritime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y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compris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qui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voyagent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autobus et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autocar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sein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l'Union européenne.</w:t>
      </w:r>
    </w:p>
    <w:p w14:paraId="182EB2C2" w14:textId="77777777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L’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Régulation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(ART) 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approuvé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"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Règlement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"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le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"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Formulaire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"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évaluation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imposition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sanctions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prévues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décret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législatif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n° 169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4 novembre 2014,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application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réglementation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droits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passagers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autobus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contenue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Règlement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(UE) n. 181/2011.</w:t>
      </w:r>
    </w:p>
    <w:p w14:paraId="10055641" w14:textId="77777777" w:rsid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PROCÉDURE DE RÉCLAMATION</w:t>
      </w:r>
    </w:p>
    <w:p w14:paraId="1DD2AD4F" w14:textId="77777777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En ce qui concerne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relevant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sa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compétence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Autostazione di Bologna S.r.l.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adopte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mesures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visées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annexe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délibération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ART 28/2021, relative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droits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services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ferroviaire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par autobus.</w:t>
      </w:r>
    </w:p>
    <w:p w14:paraId="364F699F" w14:textId="62573676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Comment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soumettre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</w:p>
    <w:p w14:paraId="1F93BBE6" w14:textId="77777777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peuvent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envoyées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moyens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suivants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</w:p>
    <w:p w14:paraId="019C36CF" w14:textId="77777777" w:rsidR="00285C32" w:rsidRPr="00285C32" w:rsidRDefault="00285C32" w:rsidP="00F14AF1">
      <w:pPr>
        <w:numPr>
          <w:ilvl w:val="0"/>
          <w:numId w:val="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Par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courrier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recommandé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avec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accusé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réception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société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Autostazione di Bologna Srl – Piazza XX Settembre, 6 – 40121, Bologna.</w:t>
      </w:r>
    </w:p>
    <w:p w14:paraId="60EF44EA" w14:textId="77777777" w:rsidR="00285C32" w:rsidRPr="00285C32" w:rsidRDefault="00285C32" w:rsidP="00F14AF1">
      <w:pPr>
        <w:numPr>
          <w:ilvl w:val="0"/>
          <w:numId w:val="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Par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courriel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</w:t>
      </w:r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autostazionebo@pec.it (ce qui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garantit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accusé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réception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ufficio@autostazionebo.it.</w:t>
      </w:r>
    </w:p>
    <w:p w14:paraId="5633BB2B" w14:textId="77777777" w:rsidR="00285C32" w:rsidRPr="00285C32" w:rsidRDefault="00285C32" w:rsidP="00F14AF1">
      <w:pPr>
        <w:numPr>
          <w:ilvl w:val="0"/>
          <w:numId w:val="7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En se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rendant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physiquement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bureau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Chef de gare (Capostazione) à Piazza XX Settembre, 6.</w:t>
      </w:r>
    </w:p>
    <w:p w14:paraId="19A05716" w14:textId="6219F02A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Contenu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</w:p>
    <w:p w14:paraId="3739A123" w14:textId="77777777" w:rsidR="00285C32" w:rsidRPr="00285C32" w:rsidRDefault="00285C32" w:rsidP="00F14AF1">
      <w:pPr>
        <w:numPr>
          <w:ilvl w:val="0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disponible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italien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anglais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se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trouve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section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“Reclami”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) sur la page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accueil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site www.autostazionebo.it.</w:t>
      </w:r>
    </w:p>
    <w:p w14:paraId="38E793C2" w14:textId="77777777" w:rsidR="00285C32" w:rsidRPr="00285C32" w:rsidRDefault="00285C32" w:rsidP="00F14AF1">
      <w:pPr>
        <w:numPr>
          <w:ilvl w:val="0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lastRenderedPageBreak/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formulaires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doivent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remplis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lettres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majuscules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271C3D5D" w14:textId="77777777" w:rsidR="00285C32" w:rsidRPr="00285C32" w:rsidRDefault="00285C32" w:rsidP="00F14AF1">
      <w:pPr>
        <w:numPr>
          <w:ilvl w:val="0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Doivent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y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annexés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</w:p>
    <w:p w14:paraId="016AE1FF" w14:textId="77777777" w:rsidR="00285C32" w:rsidRPr="00285C32" w:rsidRDefault="00285C32" w:rsidP="00F14AF1">
      <w:pPr>
        <w:numPr>
          <w:ilvl w:val="1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représentant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éventuel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et une copie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délégation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C6C9281" w14:textId="43CB99CE" w:rsidR="00285C32" w:rsidRPr="00285C32" w:rsidRDefault="00285C32" w:rsidP="00F14AF1">
      <w:pPr>
        <w:numPr>
          <w:ilvl w:val="1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Tout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utile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prouver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présence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et/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services d'Autostazione di Bologna S.r.l.</w:t>
      </w:r>
    </w:p>
    <w:p w14:paraId="6C3D58C5" w14:textId="77777777" w:rsidR="00285C32" w:rsidRPr="00285C32" w:rsidRDefault="00285C32" w:rsidP="00F14AF1">
      <w:pPr>
        <w:numPr>
          <w:ilvl w:val="0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Tous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doivent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format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.pdf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.jpg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8837754" w14:textId="77777777" w:rsidR="00285C32" w:rsidRPr="00285C32" w:rsidRDefault="00285C32" w:rsidP="00F14AF1">
      <w:pPr>
        <w:numPr>
          <w:ilvl w:val="0"/>
          <w:numId w:val="8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rédigées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langue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étrangère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recevront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même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langue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que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celle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utilisée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6858B70" w14:textId="06DC5D11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Donn</w:t>
      </w:r>
      <w:r w:rsidRPr="00285C32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é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obligatoires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pour l'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acceptation</w:t>
      </w:r>
      <w:proofErr w:type="spellEnd"/>
    </w:p>
    <w:p w14:paraId="3C430AD3" w14:textId="77777777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seront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prises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considération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elles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complètes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contiennent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données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suivantes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730310E6" w14:textId="77777777" w:rsidR="00285C32" w:rsidRPr="00285C32" w:rsidRDefault="00285C32" w:rsidP="00F14AF1">
      <w:pPr>
        <w:numPr>
          <w:ilvl w:val="0"/>
          <w:numId w:val="9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références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identification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nom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prénom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coordonnées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avec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joint.</w:t>
      </w:r>
    </w:p>
    <w:p w14:paraId="57AC35FF" w14:textId="77777777" w:rsidR="00285C32" w:rsidRPr="00285C32" w:rsidRDefault="00285C32" w:rsidP="00F14AF1">
      <w:pPr>
        <w:numPr>
          <w:ilvl w:val="0"/>
          <w:numId w:val="9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soumission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représentant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délégation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délégué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en plus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document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intéressé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4A06DF4" w14:textId="77777777" w:rsidR="00285C32" w:rsidRPr="00285C32" w:rsidRDefault="00285C32" w:rsidP="00F14AF1">
      <w:pPr>
        <w:numPr>
          <w:ilvl w:val="0"/>
          <w:numId w:val="9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indication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précise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références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identification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voyage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effectué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programmé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9A6D5DA" w14:textId="77777777" w:rsidR="00285C32" w:rsidRPr="00285C32" w:rsidRDefault="00285C32" w:rsidP="00F14AF1">
      <w:pPr>
        <w:numPr>
          <w:ilvl w:val="0"/>
          <w:numId w:val="9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description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non-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conformité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 par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rapport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plusieurs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exigences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législation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européenne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nationale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conditions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générales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Charte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Services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adoptées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l'Autostazione.</w:t>
      </w:r>
    </w:p>
    <w:p w14:paraId="3066C61E" w14:textId="0D500323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Note: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remplies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sans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préétabli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seront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également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acceptées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condition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qu'elles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soient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rédigées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manière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claire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lisible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qu'elles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contiennent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toujours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données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obligatoires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mentionnées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ci-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dessus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1CB3008" w14:textId="28928D88" w:rsidR="00285C32" w:rsidRP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Pr="00285C32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é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lai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</w:t>
      </w:r>
      <w:r w:rsidRPr="00285C32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é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ponse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indemnisation</w:t>
      </w:r>
      <w:proofErr w:type="spellEnd"/>
    </w:p>
    <w:p w14:paraId="1AFE9985" w14:textId="77777777" w:rsidR="00285C32" w:rsidRPr="00285C32" w:rsidRDefault="00285C32" w:rsidP="00F14AF1">
      <w:pPr>
        <w:numPr>
          <w:ilvl w:val="0"/>
          <w:numId w:val="10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Autostazione di Bologna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répondra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30 jours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suivant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réception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4544B79" w14:textId="77777777" w:rsidR="00285C32" w:rsidRPr="00285C32" w:rsidRDefault="00285C32" w:rsidP="00F14AF1">
      <w:pPr>
        <w:numPr>
          <w:ilvl w:val="0"/>
          <w:numId w:val="10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fournie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gestionnaire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au-delà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délai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30 jours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compter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réception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,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droit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une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indemnisation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automatique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montant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€ 8 (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huit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/00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euros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)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20E037BA" w14:textId="77777777" w:rsidR="00285C32" w:rsidRPr="00285C32" w:rsidRDefault="00285C32" w:rsidP="00F14AF1">
      <w:pPr>
        <w:numPr>
          <w:ilvl w:val="0"/>
          <w:numId w:val="10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Cette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indemnisation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n'est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due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n'est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transmise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selon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modalités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avec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éléments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minimums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requis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indiqués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ci-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dessus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7372D47" w14:textId="77777777" w:rsidR="00285C32" w:rsidRDefault="00285C32" w:rsidP="00F14AF1">
      <w:pPr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 EN SECONDE INSTANCE</w:t>
      </w:r>
    </w:p>
    <w:p w14:paraId="7C25C627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absence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insatisfaisante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envoyer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seconde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Régulation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Transports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(ART),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indiqué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ci-dessous.</w:t>
      </w:r>
    </w:p>
    <w:p w14:paraId="502FC159" w14:textId="24C3EA2F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Adresser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Régulation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Transports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(ART)</w:t>
      </w:r>
    </w:p>
    <w:p w14:paraId="531964D9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passagers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qui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déjà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soumis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peuvent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en seconde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à l'ART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signaler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violations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Autostazione di Bologna S.r.l.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obligations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découlant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Règlement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(UE) 181/2011. Cela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directement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intermédiaire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représentant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associations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représentant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intérêts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(si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expressément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déléguées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).</w:t>
      </w:r>
    </w:p>
    <w:p w14:paraId="103EB9CB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lastRenderedPageBreak/>
        <w:t>Conditions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pour la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en seconde </w:t>
      </w:r>
      <w:proofErr w:type="spellStart"/>
      <w:proofErr w:type="gram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instance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cette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seulement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après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avoir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soumis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Autostazione di Bologna S.r.l.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selon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modalités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précédemment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indiquées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suivants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516A55DF" w14:textId="77777777" w:rsidR="00285C32" w:rsidRPr="00285C32" w:rsidRDefault="00285C32" w:rsidP="00F14AF1">
      <w:pPr>
        <w:numPr>
          <w:ilvl w:val="0"/>
          <w:numId w:val="11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S'il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estime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que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est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insatisfaisante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76D1D88" w14:textId="77777777" w:rsidR="00285C32" w:rsidRPr="00285C32" w:rsidRDefault="00285C32" w:rsidP="00F14AF1">
      <w:pPr>
        <w:numPr>
          <w:ilvl w:val="0"/>
          <w:numId w:val="11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absence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012DC39" w14:textId="1B829290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Délai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délai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maximum pour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présentation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seconde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instance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l'ART est de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90 jours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compter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soumission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Autostazione di Bologna S.r.l.</w:t>
      </w:r>
    </w:p>
    <w:p w14:paraId="5E974D3F" w14:textId="408B31D3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Formulaire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est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téléchargeable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section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«modulistica» (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formulaires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site à la page: </w:t>
      </w:r>
      <w:hyperlink r:id="rId6" w:tgtFrame="_blank" w:history="1">
        <w:r w:rsidRPr="00285C32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https://www.autorita-trasporti.it/site/</w:t>
        </w:r>
      </w:hyperlink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6D7B6238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RÈGLEMENT EXTRAJUDICIAIRE DES LITIGES (ADR) </w:t>
      </w:r>
    </w:p>
    <w:p w14:paraId="3173F39C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Pour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litiges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nature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indemnitaire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,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recourir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procédures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ADR (Alternative Dispute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Resolution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), c'est-à-dire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procédures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résolution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extrajudiciaire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4855657D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L'ART 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réglementé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procédures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par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délibération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21/2023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litiges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entreprises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gérant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infrastructures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services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consommateurs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0F2340A2" w14:textId="7710F326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Plateforme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ConciliaWeb de l'ART</w:t>
      </w:r>
    </w:p>
    <w:p w14:paraId="5673409F" w14:textId="77777777" w:rsidR="00285C32" w:rsidRPr="00285C32" w:rsidRDefault="00285C32" w:rsidP="00F14AF1">
      <w:pPr>
        <w:numPr>
          <w:ilvl w:val="0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présenter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demande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uniquement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s'il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déjà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présenté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demande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remboursement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indemnisation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opérateur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économique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E82EF54" w14:textId="77777777" w:rsidR="00285C32" w:rsidRPr="00285C32" w:rsidRDefault="00285C32" w:rsidP="00F14AF1">
      <w:pPr>
        <w:numPr>
          <w:ilvl w:val="0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demande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présentée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délai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un an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compter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présentation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réclamation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20241BA5" w14:textId="77777777" w:rsidR="00285C32" w:rsidRPr="00285C32" w:rsidRDefault="00285C32" w:rsidP="00F14AF1">
      <w:pPr>
        <w:numPr>
          <w:ilvl w:val="1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n'a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reçu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24455046" w14:textId="77777777" w:rsidR="00285C32" w:rsidRPr="00285C32" w:rsidRDefault="00285C32" w:rsidP="00F14AF1">
      <w:pPr>
        <w:numPr>
          <w:ilvl w:val="1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Si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réponse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était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insatisfaisante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12256446" w14:textId="77777777" w:rsidR="00285C32" w:rsidRPr="00285C32" w:rsidRDefault="00285C32" w:rsidP="00F14AF1">
      <w:pPr>
        <w:numPr>
          <w:ilvl w:val="0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activer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procédure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via l'ART,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doit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accéder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plateforme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ConciliaWeb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via SPID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CIE,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uniquement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résidant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Italie, par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enregistrement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F8498E9" w14:textId="77777777" w:rsidR="00285C32" w:rsidRPr="00285C32" w:rsidRDefault="00285C32" w:rsidP="00F14AF1">
      <w:pPr>
        <w:numPr>
          <w:ilvl w:val="1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Informations</w:t>
      </w:r>
      <w:proofErr w:type="spellEnd"/>
      <w:r w:rsidRPr="00285C32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proofErr w:type="gramStart"/>
      <w:r w:rsidRPr="00285C32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>accès</w:t>
      </w:r>
      <w:proofErr w:type="spellEnd"/>
      <w:r w:rsidRPr="00285C32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it-IT"/>
          <w14:ligatures w14:val="none"/>
        </w:rPr>
        <w:t xml:space="preserve"> :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tgtFrame="_blank" w:history="1">
        <w:r w:rsidRPr="00285C32">
          <w:rPr>
            <w:rStyle w:val="Collegamentoipertestuale"/>
            <w:rFonts w:asciiTheme="majorHAnsi" w:eastAsia="Times New Roman" w:hAnsiTheme="majorHAnsi" w:cstheme="majorHAnsi"/>
            <w:kern w:val="0"/>
            <w:sz w:val="24"/>
            <w:szCs w:val="24"/>
            <w:lang w:eastAsia="it-IT"/>
            <w14:ligatures w14:val="none"/>
          </w:rPr>
          <w:t>https://www.autorita-trasporti.it/conciliaweb/</w:t>
        </w:r>
      </w:hyperlink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5CEB076C" w14:textId="77777777" w:rsidR="00285C32" w:rsidRPr="00285C32" w:rsidRDefault="00285C32" w:rsidP="00F14AF1">
      <w:pPr>
        <w:numPr>
          <w:ilvl w:val="0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demande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via ConciliaWeb n'est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recevable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si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litige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être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résolu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devant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Organisme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(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OdC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) conforme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exigences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Code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consommation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qui ne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prévoit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frais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charge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. </w:t>
      </w:r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La liste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OdC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est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disponible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sur le site web de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3F889FD6" w14:textId="77777777" w:rsidR="00285C32" w:rsidRPr="00285C32" w:rsidRDefault="00285C32" w:rsidP="00F14AF1">
      <w:pPr>
        <w:numPr>
          <w:ilvl w:val="0"/>
          <w:numId w:val="12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lastRenderedPageBreak/>
        <w:t>Il est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important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noter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que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n'est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compétente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régler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litiges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consommateurs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entreprises, ni pour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sanctionner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entités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réglementées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dans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indemnisation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d'assistance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cas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accident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.</w:t>
      </w:r>
    </w:p>
    <w:p w14:paraId="7768BA44" w14:textId="0524860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Autres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organismes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résolution</w:t>
      </w:r>
      <w:proofErr w:type="spellEnd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it-IT"/>
          <w14:ligatures w14:val="none"/>
        </w:rPr>
        <w:t>extrajudiciaire</w:t>
      </w:r>
      <w:proofErr w:type="spellEnd"/>
    </w:p>
    <w:p w14:paraId="07BEC7A1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utilisateur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peut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également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adresser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pour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solution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non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juridictionnelle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litiges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:</w:t>
      </w:r>
    </w:p>
    <w:p w14:paraId="3CFD27F5" w14:textId="77777777" w:rsidR="00285C32" w:rsidRPr="00285C32" w:rsidRDefault="00285C32" w:rsidP="00F14AF1">
      <w:pPr>
        <w:numPr>
          <w:ilvl w:val="0"/>
          <w:numId w:val="13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Chambres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conciliation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instituées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auprès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Chambres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commerce, d'industrie,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artisanat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d'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agriculture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après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signature d'un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protocole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d'accord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entre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Autorité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et Unioncamere.</w:t>
      </w:r>
    </w:p>
    <w:p w14:paraId="56F2ABE2" w14:textId="5C685B00" w:rsidR="00285C32" w:rsidRPr="00285C32" w:rsidRDefault="00285C32" w:rsidP="00F14AF1">
      <w:pPr>
        <w:numPr>
          <w:ilvl w:val="0"/>
          <w:numId w:val="13"/>
        </w:numPr>
        <w:spacing w:before="300" w:after="300" w:line="240" w:lineRule="auto"/>
        <w:jc w:val="both"/>
        <w:outlineLvl w:val="3"/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</w:pP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Aux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organismes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ADR, y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compris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organismes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négociation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paritaire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inscrits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sur </w:t>
      </w:r>
      <w:proofErr w:type="gram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la</w:t>
      </w:r>
      <w:r w:rsidR="00905B03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liste</w:t>
      </w:r>
      <w:proofErr w:type="gram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visée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à l'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article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141-decies,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paragraphe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1,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du</w:t>
      </w:r>
      <w:proofErr w:type="spellEnd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 xml:space="preserve"> Code de la </w:t>
      </w:r>
      <w:proofErr w:type="spellStart"/>
      <w:r w:rsidRPr="00285C32">
        <w:rPr>
          <w:rFonts w:asciiTheme="majorHAnsi" w:eastAsia="Times New Roman" w:hAnsiTheme="majorHAnsi" w:cstheme="majorHAnsi"/>
          <w:kern w:val="0"/>
          <w:sz w:val="24"/>
          <w:szCs w:val="24"/>
          <w:lang w:eastAsia="it-IT"/>
          <w14:ligatures w14:val="none"/>
        </w:rPr>
        <w:t>consommation</w:t>
      </w:r>
      <w:proofErr w:type="spellEnd"/>
    </w:p>
    <w:p w14:paraId="4A39DBEE" w14:textId="77777777" w:rsidR="00A13F3C" w:rsidRPr="00B11FF1" w:rsidRDefault="00A13F3C" w:rsidP="00F14AF1">
      <w:pPr>
        <w:spacing w:before="300" w:after="300" w:line="240" w:lineRule="auto"/>
        <w:jc w:val="both"/>
        <w:outlineLvl w:val="3"/>
        <w:rPr>
          <w:rFonts w:ascii="Poppins" w:eastAsia="Times New Roman" w:hAnsi="Poppins" w:cs="Poppins"/>
          <w:b/>
          <w:bCs/>
          <w:kern w:val="0"/>
          <w:sz w:val="24"/>
          <w:szCs w:val="24"/>
          <w:lang w:eastAsia="it-IT"/>
          <w14:ligatures w14:val="none"/>
        </w:rPr>
      </w:pPr>
    </w:p>
    <w:p w14:paraId="26647AEA" w14:textId="77777777" w:rsidR="00285C32" w:rsidRPr="00285C32" w:rsidRDefault="00285C32" w:rsidP="00F14AF1">
      <w:pPr>
        <w:spacing w:before="300" w:after="300" w:line="240" w:lineRule="auto"/>
        <w:jc w:val="both"/>
        <w:outlineLvl w:val="3"/>
        <w:rPr>
          <w:b/>
          <w:bCs/>
          <w:sz w:val="24"/>
          <w:szCs w:val="24"/>
        </w:rPr>
      </w:pPr>
      <w:proofErr w:type="spellStart"/>
      <w:r w:rsidRPr="00285C32">
        <w:rPr>
          <w:b/>
          <w:bCs/>
          <w:sz w:val="24"/>
          <w:szCs w:val="24"/>
        </w:rPr>
        <w:t>Mesures</w:t>
      </w:r>
      <w:proofErr w:type="spellEnd"/>
      <w:r w:rsidRPr="00285C32">
        <w:rPr>
          <w:b/>
          <w:bCs/>
          <w:sz w:val="24"/>
          <w:szCs w:val="24"/>
        </w:rPr>
        <w:t xml:space="preserve"> de </w:t>
      </w:r>
      <w:proofErr w:type="spellStart"/>
      <w:r w:rsidRPr="00285C32">
        <w:rPr>
          <w:b/>
          <w:bCs/>
          <w:sz w:val="24"/>
          <w:szCs w:val="24"/>
        </w:rPr>
        <w:t>Contrôle</w:t>
      </w:r>
      <w:proofErr w:type="spellEnd"/>
      <w:r w:rsidRPr="00285C32">
        <w:rPr>
          <w:b/>
          <w:bCs/>
          <w:sz w:val="24"/>
          <w:szCs w:val="24"/>
        </w:rPr>
        <w:t xml:space="preserve"> et </w:t>
      </w:r>
      <w:proofErr w:type="spellStart"/>
      <w:r w:rsidRPr="00285C32">
        <w:rPr>
          <w:b/>
          <w:bCs/>
          <w:sz w:val="24"/>
          <w:szCs w:val="24"/>
        </w:rPr>
        <w:t>Suivi</w:t>
      </w:r>
      <w:proofErr w:type="spellEnd"/>
    </w:p>
    <w:p w14:paraId="77CC265E" w14:textId="77777777" w:rsidR="00285C32" w:rsidRPr="00285C32" w:rsidRDefault="00285C32" w:rsidP="00F14AF1">
      <w:pPr>
        <w:numPr>
          <w:ilvl w:val="0"/>
          <w:numId w:val="14"/>
        </w:numPr>
        <w:spacing w:before="300" w:after="300" w:line="240" w:lineRule="auto"/>
        <w:jc w:val="both"/>
        <w:outlineLvl w:val="3"/>
        <w:rPr>
          <w:b/>
          <w:sz w:val="24"/>
          <w:szCs w:val="24"/>
        </w:rPr>
      </w:pPr>
      <w:proofErr w:type="spellStart"/>
      <w:r w:rsidRPr="00285C32">
        <w:rPr>
          <w:b/>
          <w:bCs/>
          <w:sz w:val="24"/>
          <w:szCs w:val="24"/>
        </w:rPr>
        <w:t>Délai</w:t>
      </w:r>
      <w:proofErr w:type="spellEnd"/>
      <w:r w:rsidRPr="00285C32">
        <w:rPr>
          <w:b/>
          <w:bCs/>
          <w:sz w:val="24"/>
          <w:szCs w:val="24"/>
        </w:rPr>
        <w:t xml:space="preserve"> de mise en </w:t>
      </w:r>
      <w:proofErr w:type="spellStart"/>
      <w:proofErr w:type="gramStart"/>
      <w:r w:rsidRPr="00285C32">
        <w:rPr>
          <w:b/>
          <w:bCs/>
          <w:sz w:val="24"/>
          <w:szCs w:val="24"/>
        </w:rPr>
        <w:t>œuvre</w:t>
      </w:r>
      <w:proofErr w:type="spellEnd"/>
      <w:r w:rsidRPr="00285C32">
        <w:rPr>
          <w:b/>
          <w:bCs/>
          <w:sz w:val="24"/>
          <w:szCs w:val="24"/>
        </w:rPr>
        <w:t xml:space="preserve"> :</w:t>
      </w:r>
      <w:proofErr w:type="gramEnd"/>
      <w:r w:rsidRPr="00285C32">
        <w:rPr>
          <w:b/>
          <w:sz w:val="24"/>
          <w:szCs w:val="24"/>
        </w:rPr>
        <w:t xml:space="preserve"> </w:t>
      </w:r>
      <w:r w:rsidRPr="00285C32">
        <w:rPr>
          <w:b/>
          <w:bCs/>
          <w:sz w:val="24"/>
          <w:szCs w:val="24"/>
        </w:rPr>
        <w:t>DANS LES 30 JOURS</w:t>
      </w:r>
      <w:r w:rsidRPr="00285C32">
        <w:rPr>
          <w:b/>
          <w:sz w:val="24"/>
          <w:szCs w:val="24"/>
        </w:rPr>
        <w:t xml:space="preserve"> </w:t>
      </w:r>
    </w:p>
    <w:p w14:paraId="6DE8C94D" w14:textId="77777777" w:rsidR="00285C32" w:rsidRPr="00285C32" w:rsidRDefault="00285C32" w:rsidP="00F14AF1">
      <w:pPr>
        <w:numPr>
          <w:ilvl w:val="0"/>
          <w:numId w:val="14"/>
        </w:numPr>
        <w:spacing w:before="300" w:after="300" w:line="240" w:lineRule="auto"/>
        <w:jc w:val="both"/>
        <w:outlineLvl w:val="3"/>
        <w:rPr>
          <w:b/>
          <w:sz w:val="24"/>
          <w:szCs w:val="24"/>
        </w:rPr>
      </w:pPr>
      <w:proofErr w:type="spellStart"/>
      <w:r w:rsidRPr="00285C32">
        <w:rPr>
          <w:b/>
          <w:bCs/>
          <w:sz w:val="24"/>
          <w:szCs w:val="24"/>
        </w:rPr>
        <w:t>Responsable</w:t>
      </w:r>
      <w:proofErr w:type="spellEnd"/>
      <w:r w:rsidRPr="00285C32">
        <w:rPr>
          <w:b/>
          <w:bCs/>
          <w:sz w:val="24"/>
          <w:szCs w:val="24"/>
        </w:rPr>
        <w:t xml:space="preserve"> de la mise en </w:t>
      </w:r>
      <w:proofErr w:type="spellStart"/>
      <w:proofErr w:type="gramStart"/>
      <w:r w:rsidRPr="00285C32">
        <w:rPr>
          <w:b/>
          <w:bCs/>
          <w:sz w:val="24"/>
          <w:szCs w:val="24"/>
        </w:rPr>
        <w:t>œuvre</w:t>
      </w:r>
      <w:proofErr w:type="spellEnd"/>
      <w:r w:rsidRPr="00285C32">
        <w:rPr>
          <w:b/>
          <w:bCs/>
          <w:sz w:val="24"/>
          <w:szCs w:val="24"/>
        </w:rPr>
        <w:t xml:space="preserve"> :</w:t>
      </w:r>
      <w:proofErr w:type="gramEnd"/>
      <w:r w:rsidRPr="00285C32">
        <w:rPr>
          <w:b/>
          <w:sz w:val="24"/>
          <w:szCs w:val="24"/>
        </w:rPr>
        <w:t xml:space="preserve"> BUREAU DU MOUVEMENT ET BUREAU ADMINISTRATIF </w:t>
      </w:r>
    </w:p>
    <w:p w14:paraId="167F7135" w14:textId="77777777" w:rsidR="00285C32" w:rsidRPr="00285C32" w:rsidRDefault="00285C32" w:rsidP="00F14AF1">
      <w:pPr>
        <w:numPr>
          <w:ilvl w:val="0"/>
          <w:numId w:val="14"/>
        </w:numPr>
        <w:spacing w:before="300" w:after="300" w:line="240" w:lineRule="auto"/>
        <w:jc w:val="both"/>
        <w:outlineLvl w:val="3"/>
        <w:rPr>
          <w:b/>
          <w:sz w:val="24"/>
          <w:szCs w:val="24"/>
        </w:rPr>
      </w:pPr>
      <w:proofErr w:type="spellStart"/>
      <w:r w:rsidRPr="00285C32">
        <w:rPr>
          <w:b/>
          <w:bCs/>
          <w:sz w:val="24"/>
          <w:szCs w:val="24"/>
        </w:rPr>
        <w:t>Mesure</w:t>
      </w:r>
      <w:proofErr w:type="spellEnd"/>
      <w:r w:rsidRPr="00285C32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285C32">
        <w:rPr>
          <w:b/>
          <w:bCs/>
          <w:sz w:val="24"/>
          <w:szCs w:val="24"/>
        </w:rPr>
        <w:t>contrôle</w:t>
      </w:r>
      <w:proofErr w:type="spellEnd"/>
      <w:r w:rsidRPr="00285C32">
        <w:rPr>
          <w:b/>
          <w:bCs/>
          <w:sz w:val="24"/>
          <w:szCs w:val="24"/>
        </w:rPr>
        <w:t xml:space="preserve"> :</w:t>
      </w:r>
      <w:proofErr w:type="gramEnd"/>
      <w:r w:rsidRPr="00285C32">
        <w:rPr>
          <w:b/>
          <w:sz w:val="24"/>
          <w:szCs w:val="24"/>
        </w:rPr>
        <w:t xml:space="preserve"> CONTRÔLE DE </w:t>
      </w:r>
      <w:r w:rsidRPr="00285C32">
        <w:rPr>
          <w:b/>
          <w:bCs/>
          <w:sz w:val="24"/>
          <w:szCs w:val="24"/>
        </w:rPr>
        <w:t>50%</w:t>
      </w:r>
      <w:r w:rsidRPr="00285C32">
        <w:rPr>
          <w:b/>
          <w:sz w:val="24"/>
          <w:szCs w:val="24"/>
        </w:rPr>
        <w:t xml:space="preserve"> DU REGISTRE DES RÉCLAMATIONS </w:t>
      </w:r>
    </w:p>
    <w:p w14:paraId="3226B6D3" w14:textId="77777777" w:rsidR="00285C32" w:rsidRPr="00285C32" w:rsidRDefault="00285C32" w:rsidP="00F14AF1">
      <w:pPr>
        <w:numPr>
          <w:ilvl w:val="0"/>
          <w:numId w:val="14"/>
        </w:numPr>
        <w:spacing w:before="300" w:after="300" w:line="240" w:lineRule="auto"/>
        <w:jc w:val="both"/>
        <w:outlineLvl w:val="3"/>
        <w:rPr>
          <w:b/>
          <w:sz w:val="24"/>
          <w:szCs w:val="24"/>
        </w:rPr>
      </w:pPr>
      <w:proofErr w:type="spellStart"/>
      <w:r w:rsidRPr="00285C32">
        <w:rPr>
          <w:b/>
          <w:bCs/>
          <w:sz w:val="24"/>
          <w:szCs w:val="24"/>
        </w:rPr>
        <w:t>Indicateurs</w:t>
      </w:r>
      <w:proofErr w:type="spellEnd"/>
      <w:r w:rsidRPr="00285C32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Pr="00285C32">
        <w:rPr>
          <w:b/>
          <w:bCs/>
          <w:sz w:val="24"/>
          <w:szCs w:val="24"/>
        </w:rPr>
        <w:t>suivi</w:t>
      </w:r>
      <w:proofErr w:type="spellEnd"/>
      <w:r w:rsidRPr="00285C32">
        <w:rPr>
          <w:b/>
          <w:bCs/>
          <w:sz w:val="24"/>
          <w:szCs w:val="24"/>
        </w:rPr>
        <w:t xml:space="preserve"> :</w:t>
      </w:r>
      <w:proofErr w:type="gramEnd"/>
      <w:r w:rsidRPr="00285C32">
        <w:rPr>
          <w:b/>
          <w:sz w:val="24"/>
          <w:szCs w:val="24"/>
        </w:rPr>
        <w:t xml:space="preserve"> </w:t>
      </w:r>
      <w:r w:rsidRPr="00285C32">
        <w:rPr>
          <w:b/>
          <w:bCs/>
          <w:sz w:val="24"/>
          <w:szCs w:val="24"/>
        </w:rPr>
        <w:t>80% POSITIF</w:t>
      </w:r>
      <w:r w:rsidRPr="00285C32">
        <w:rPr>
          <w:b/>
          <w:sz w:val="24"/>
          <w:szCs w:val="24"/>
        </w:rPr>
        <w:t xml:space="preserve"> SUR LES 50% CONTRÔLÉS </w:t>
      </w:r>
    </w:p>
    <w:p w14:paraId="08850589" w14:textId="7DCF9A18" w:rsidR="008C653B" w:rsidRPr="00B11FF1" w:rsidRDefault="008C653B" w:rsidP="00CE23A6">
      <w:pPr>
        <w:spacing w:line="240" w:lineRule="auto"/>
        <w:jc w:val="both"/>
        <w:rPr>
          <w:sz w:val="24"/>
          <w:szCs w:val="24"/>
        </w:rPr>
      </w:pPr>
    </w:p>
    <w:sectPr w:rsidR="008C653B" w:rsidRPr="00B11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ECF"/>
    <w:multiLevelType w:val="multilevel"/>
    <w:tmpl w:val="0C58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91192"/>
    <w:multiLevelType w:val="multilevel"/>
    <w:tmpl w:val="692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80A48"/>
    <w:multiLevelType w:val="multilevel"/>
    <w:tmpl w:val="217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60532"/>
    <w:multiLevelType w:val="multilevel"/>
    <w:tmpl w:val="019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864D4"/>
    <w:multiLevelType w:val="multilevel"/>
    <w:tmpl w:val="B6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05998"/>
    <w:multiLevelType w:val="multilevel"/>
    <w:tmpl w:val="C68A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85C25"/>
    <w:multiLevelType w:val="multilevel"/>
    <w:tmpl w:val="61D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01B50"/>
    <w:multiLevelType w:val="multilevel"/>
    <w:tmpl w:val="099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3295E"/>
    <w:multiLevelType w:val="multilevel"/>
    <w:tmpl w:val="456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E6242"/>
    <w:multiLevelType w:val="multilevel"/>
    <w:tmpl w:val="B11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46ED7"/>
    <w:multiLevelType w:val="multilevel"/>
    <w:tmpl w:val="E57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76523"/>
    <w:multiLevelType w:val="multilevel"/>
    <w:tmpl w:val="723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A4779"/>
    <w:multiLevelType w:val="multilevel"/>
    <w:tmpl w:val="3C5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420DC"/>
    <w:multiLevelType w:val="multilevel"/>
    <w:tmpl w:val="AB0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16728">
    <w:abstractNumId w:val="5"/>
  </w:num>
  <w:num w:numId="2" w16cid:durableId="1442257402">
    <w:abstractNumId w:val="7"/>
  </w:num>
  <w:num w:numId="3" w16cid:durableId="51656941">
    <w:abstractNumId w:val="9"/>
  </w:num>
  <w:num w:numId="4" w16cid:durableId="1948345191">
    <w:abstractNumId w:val="0"/>
  </w:num>
  <w:num w:numId="5" w16cid:durableId="1636334647">
    <w:abstractNumId w:val="3"/>
  </w:num>
  <w:num w:numId="6" w16cid:durableId="181092000">
    <w:abstractNumId w:val="1"/>
  </w:num>
  <w:num w:numId="7" w16cid:durableId="1902979463">
    <w:abstractNumId w:val="10"/>
  </w:num>
  <w:num w:numId="8" w16cid:durableId="348609015">
    <w:abstractNumId w:val="8"/>
  </w:num>
  <w:num w:numId="9" w16cid:durableId="1206793423">
    <w:abstractNumId w:val="4"/>
  </w:num>
  <w:num w:numId="10" w16cid:durableId="1145003491">
    <w:abstractNumId w:val="2"/>
  </w:num>
  <w:num w:numId="11" w16cid:durableId="201555719">
    <w:abstractNumId w:val="11"/>
  </w:num>
  <w:num w:numId="12" w16cid:durableId="945233128">
    <w:abstractNumId w:val="12"/>
  </w:num>
  <w:num w:numId="13" w16cid:durableId="1608003852">
    <w:abstractNumId w:val="6"/>
  </w:num>
  <w:num w:numId="14" w16cid:durableId="1856842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3C"/>
    <w:rsid w:val="00044247"/>
    <w:rsid w:val="000D009D"/>
    <w:rsid w:val="00242C1B"/>
    <w:rsid w:val="00250A3D"/>
    <w:rsid w:val="00285C32"/>
    <w:rsid w:val="002C74F1"/>
    <w:rsid w:val="00357DD1"/>
    <w:rsid w:val="003C61F7"/>
    <w:rsid w:val="003F1809"/>
    <w:rsid w:val="003F1B1A"/>
    <w:rsid w:val="003F2AFF"/>
    <w:rsid w:val="00470BF7"/>
    <w:rsid w:val="004933AB"/>
    <w:rsid w:val="00521D0A"/>
    <w:rsid w:val="005A7B1B"/>
    <w:rsid w:val="006602BB"/>
    <w:rsid w:val="0066161C"/>
    <w:rsid w:val="00680608"/>
    <w:rsid w:val="006A116B"/>
    <w:rsid w:val="007B0207"/>
    <w:rsid w:val="007C3D6C"/>
    <w:rsid w:val="007D138F"/>
    <w:rsid w:val="00882C65"/>
    <w:rsid w:val="008B090D"/>
    <w:rsid w:val="008C2357"/>
    <w:rsid w:val="008C653B"/>
    <w:rsid w:val="008E78D5"/>
    <w:rsid w:val="00900752"/>
    <w:rsid w:val="00905B03"/>
    <w:rsid w:val="00922B02"/>
    <w:rsid w:val="00955F74"/>
    <w:rsid w:val="00960BCE"/>
    <w:rsid w:val="009755E9"/>
    <w:rsid w:val="009B36DC"/>
    <w:rsid w:val="009E371E"/>
    <w:rsid w:val="00A13F3C"/>
    <w:rsid w:val="00A2014F"/>
    <w:rsid w:val="00A41891"/>
    <w:rsid w:val="00AF207A"/>
    <w:rsid w:val="00AF76CA"/>
    <w:rsid w:val="00B11FF1"/>
    <w:rsid w:val="00B24312"/>
    <w:rsid w:val="00B53C6A"/>
    <w:rsid w:val="00B8386E"/>
    <w:rsid w:val="00BA701D"/>
    <w:rsid w:val="00BE2DD8"/>
    <w:rsid w:val="00C63D6B"/>
    <w:rsid w:val="00C77538"/>
    <w:rsid w:val="00C92D2D"/>
    <w:rsid w:val="00CA68D3"/>
    <w:rsid w:val="00CD059A"/>
    <w:rsid w:val="00CE23A6"/>
    <w:rsid w:val="00D3695F"/>
    <w:rsid w:val="00D94E63"/>
    <w:rsid w:val="00DD537C"/>
    <w:rsid w:val="00E55A90"/>
    <w:rsid w:val="00E6471A"/>
    <w:rsid w:val="00EA1105"/>
    <w:rsid w:val="00EC2C26"/>
    <w:rsid w:val="00F14AF1"/>
    <w:rsid w:val="00F24649"/>
    <w:rsid w:val="00F47D1A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177D"/>
  <w15:chartTrackingRefBased/>
  <w15:docId w15:val="{22ED20A1-FBEA-4437-AB84-BC3BE1E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F3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F3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F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F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F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F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F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F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F3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F3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F3C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B53C6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C6A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semiHidden/>
    <w:rsid w:val="00B53C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D0A"/>
    <w:rPr>
      <w:color w:val="605E5C"/>
      <w:shd w:val="clear" w:color="auto" w:fill="E1DFDD"/>
    </w:rPr>
  </w:style>
  <w:style w:type="paragraph" w:customStyle="1" w:styleId="NormalNumbered">
    <w:name w:val="Normal Numbered"/>
    <w:basedOn w:val="Normale"/>
    <w:uiPriority w:val="7"/>
    <w:qFormat/>
    <w:rsid w:val="00CE23A6"/>
    <w:pPr>
      <w:spacing w:before="140" w:after="140" w:line="280" w:lineRule="atLeast"/>
    </w:pPr>
    <w:rPr>
      <w:rFonts w:ascii="Calibri" w:eastAsia="PMingLiU" w:hAnsi="Calibri" w:cs="Mangal"/>
      <w:color w:val="161B2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0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1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3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5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73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91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5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3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8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38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1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56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08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5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19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8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53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75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43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6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09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89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59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20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42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22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7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72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2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72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29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24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55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76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40">
              <w:marLeft w:val="0"/>
              <w:marRight w:val="0"/>
              <w:marTop w:val="0"/>
              <w:marBottom w:val="0"/>
              <w:divBdr>
                <w:top w:val="single" w:sz="6" w:space="3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884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66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rita-trasporti.it/concilia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torita-trasporti.it/si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Autostazione Bologna</dc:creator>
  <cp:keywords/>
  <dc:description/>
  <cp:lastModifiedBy>Andrea Magnani</cp:lastModifiedBy>
  <cp:revision>12</cp:revision>
  <dcterms:created xsi:type="dcterms:W3CDTF">2025-11-29T07:11:00Z</dcterms:created>
  <dcterms:modified xsi:type="dcterms:W3CDTF">2025-11-29T07:32:00Z</dcterms:modified>
</cp:coreProperties>
</file>